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8E2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highlight w:val="none"/>
          <w:lang w:val="en-US" w:eastAsia="zh-CN"/>
        </w:rPr>
      </w:pPr>
    </w:p>
    <w:p w14:paraId="1AC6F95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bookmarkStart w:id="0" w:name="_GoBack"/>
      <w:bookmarkEnd w:id="0"/>
    </w:p>
    <w:p w14:paraId="1DC3E3D0">
      <w:pPr>
        <w:pageBreakBefore w:val="0"/>
        <w:shd w:val="clear" w:color="auto" w:fill="auto"/>
        <w:kinsoku/>
        <w:wordWrap/>
        <w:overflowPunct/>
        <w:topLinePunct w:val="0"/>
        <w:bidi w:val="0"/>
        <w:spacing w:line="520" w:lineRule="exact"/>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报价单</w:t>
      </w:r>
    </w:p>
    <w:p w14:paraId="61B76F94">
      <w:pPr>
        <w:pageBreakBefore w:val="0"/>
        <w:shd w:val="clear" w:color="auto" w:fill="auto"/>
        <w:kinsoku/>
        <w:wordWrap/>
        <w:overflowPunct/>
        <w:topLinePunct w:val="0"/>
        <w:bidi w:val="0"/>
        <w:spacing w:line="520" w:lineRule="exact"/>
        <w:jc w:val="center"/>
        <w:rPr>
          <w:rFonts w:ascii="仿宋_GB2312" w:hAnsi="仿宋" w:eastAsia="仿宋_GB2312" w:cs="仿宋"/>
          <w:b/>
          <w:sz w:val="32"/>
          <w:szCs w:val="32"/>
          <w:highlight w:val="none"/>
        </w:rPr>
      </w:pPr>
    </w:p>
    <w:tbl>
      <w:tblPr>
        <w:tblStyle w:val="8"/>
        <w:tblW w:w="8683" w:type="dxa"/>
        <w:tblInd w:w="0" w:type="dxa"/>
        <w:tblLayout w:type="fixed"/>
        <w:tblCellMar>
          <w:top w:w="15" w:type="dxa"/>
          <w:left w:w="15" w:type="dxa"/>
          <w:bottom w:w="15" w:type="dxa"/>
          <w:right w:w="15" w:type="dxa"/>
        </w:tblCellMar>
      </w:tblPr>
      <w:tblGrid>
        <w:gridCol w:w="3332"/>
        <w:gridCol w:w="5351"/>
      </w:tblGrid>
      <w:tr w14:paraId="2A2055DE">
        <w:tblPrEx>
          <w:tblCellMar>
            <w:top w:w="15" w:type="dxa"/>
            <w:left w:w="15" w:type="dxa"/>
            <w:bottom w:w="15" w:type="dxa"/>
            <w:right w:w="15" w:type="dxa"/>
          </w:tblCellMar>
        </w:tblPrEx>
        <w:trPr>
          <w:trHeight w:val="1474" w:hRule="exact"/>
        </w:trPr>
        <w:tc>
          <w:tcPr>
            <w:tcW w:w="3332" w:type="dxa"/>
            <w:tcBorders>
              <w:top w:val="single" w:color="000000" w:sz="4" w:space="0"/>
              <w:left w:val="single" w:color="000000" w:sz="4" w:space="0"/>
              <w:bottom w:val="single" w:color="000000" w:sz="4" w:space="0"/>
              <w:right w:val="single" w:color="000000" w:sz="4" w:space="0"/>
            </w:tcBorders>
            <w:noWrap w:val="0"/>
            <w:vAlign w:val="center"/>
          </w:tcPr>
          <w:p w14:paraId="311FECB9">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r>
              <w:rPr>
                <w:rFonts w:hint="eastAsia" w:ascii="仿宋_GB2312" w:hAnsi="宋体" w:eastAsia="仿宋_GB2312" w:cs="仿宋_GB2312"/>
                <w:b/>
                <w:color w:val="000000"/>
                <w:kern w:val="0"/>
                <w:sz w:val="32"/>
                <w:szCs w:val="32"/>
                <w:highlight w:val="none"/>
                <w:lang w:bidi="ar"/>
              </w:rPr>
              <w:t>项目名称</w:t>
            </w:r>
          </w:p>
        </w:tc>
        <w:tc>
          <w:tcPr>
            <w:tcW w:w="5351" w:type="dxa"/>
            <w:tcBorders>
              <w:top w:val="single" w:color="000000" w:sz="4" w:space="0"/>
              <w:left w:val="single" w:color="000000" w:sz="4" w:space="0"/>
              <w:bottom w:val="single" w:color="000000" w:sz="4" w:space="0"/>
              <w:right w:val="single" w:color="000000" w:sz="4" w:space="0"/>
            </w:tcBorders>
            <w:noWrap w:val="0"/>
            <w:vAlign w:val="center"/>
          </w:tcPr>
          <w:p w14:paraId="0C244F9B">
            <w:pPr>
              <w:spacing w:line="560" w:lineRule="exact"/>
              <w:jc w:val="left"/>
              <w:rPr>
                <w:rFonts w:hint="eastAsia" w:ascii="仿宋_GB2312" w:hAnsi="仿宋_GB2312" w:eastAsia="仿宋_GB2312" w:cs="仿宋_GB2312"/>
                <w:b/>
                <w:color w:val="000000"/>
                <w:sz w:val="28"/>
                <w:szCs w:val="28"/>
                <w:highlight w:val="none"/>
                <w:lang w:val="en-US" w:eastAsia="zh-CN"/>
              </w:rPr>
            </w:pPr>
            <w:r>
              <w:rPr>
                <w:rFonts w:hint="eastAsia" w:ascii="仿宋_GB2312" w:hAnsi="仿宋_GB2312" w:eastAsia="仿宋_GB2312" w:cs="仿宋_GB2312"/>
                <w:b/>
                <w:color w:val="000000"/>
                <w:sz w:val="28"/>
                <w:szCs w:val="28"/>
                <w:highlight w:val="none"/>
                <w:lang w:val="en-US" w:eastAsia="zh-CN"/>
              </w:rPr>
              <w:t>许昌建投郑许一体建设开发有限公司市储备地块租金评估服务比选采购</w:t>
            </w:r>
          </w:p>
          <w:p w14:paraId="054B5321">
            <w:pPr>
              <w:keepNext w:val="0"/>
              <w:keepLines w:val="0"/>
              <w:pageBreakBefore w:val="0"/>
              <w:widowControl/>
              <w:shd w:val="clear" w:color="auto" w:fill="auto"/>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b/>
                <w:color w:val="000000"/>
                <w:sz w:val="24"/>
                <w:szCs w:val="24"/>
                <w:highlight w:val="none"/>
                <w:lang w:val="en-US" w:eastAsia="zh-CN"/>
              </w:rPr>
            </w:pPr>
          </w:p>
        </w:tc>
      </w:tr>
      <w:tr w14:paraId="1F1E7B5D">
        <w:tblPrEx>
          <w:tblCellMar>
            <w:top w:w="15" w:type="dxa"/>
            <w:left w:w="15" w:type="dxa"/>
            <w:bottom w:w="15" w:type="dxa"/>
            <w:right w:w="15" w:type="dxa"/>
          </w:tblCellMar>
        </w:tblPrEx>
        <w:trPr>
          <w:trHeight w:val="1474" w:hRule="exact"/>
        </w:trPr>
        <w:tc>
          <w:tcPr>
            <w:tcW w:w="3332" w:type="dxa"/>
            <w:tcBorders>
              <w:top w:val="single" w:color="000000" w:sz="4" w:space="0"/>
              <w:left w:val="single" w:color="000000" w:sz="4" w:space="0"/>
              <w:right w:val="single" w:color="000000" w:sz="4" w:space="0"/>
            </w:tcBorders>
            <w:noWrap w:val="0"/>
            <w:vAlign w:val="center"/>
          </w:tcPr>
          <w:p w14:paraId="38803BB4">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r>
              <w:rPr>
                <w:rFonts w:hint="eastAsia" w:ascii="仿宋_GB2312" w:hAnsi="宋体" w:eastAsia="仿宋_GB2312" w:cs="仿宋_GB2312"/>
                <w:b/>
                <w:color w:val="000000"/>
                <w:kern w:val="0"/>
                <w:sz w:val="32"/>
                <w:szCs w:val="32"/>
                <w:highlight w:val="none"/>
                <w:lang w:bidi="ar"/>
              </w:rPr>
              <w:t>申请人</w:t>
            </w:r>
          </w:p>
        </w:tc>
        <w:tc>
          <w:tcPr>
            <w:tcW w:w="5351" w:type="dxa"/>
            <w:tcBorders>
              <w:top w:val="single" w:color="000000" w:sz="4" w:space="0"/>
              <w:left w:val="single" w:color="000000" w:sz="4" w:space="0"/>
              <w:bottom w:val="single" w:color="000000" w:sz="4" w:space="0"/>
              <w:right w:val="single" w:color="000000" w:sz="4" w:space="0"/>
            </w:tcBorders>
            <w:noWrap w:val="0"/>
            <w:vAlign w:val="center"/>
          </w:tcPr>
          <w:p w14:paraId="05435121">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p>
        </w:tc>
      </w:tr>
      <w:tr w14:paraId="5735AB6E">
        <w:tblPrEx>
          <w:tblCellMar>
            <w:top w:w="15" w:type="dxa"/>
            <w:left w:w="15" w:type="dxa"/>
            <w:bottom w:w="15" w:type="dxa"/>
            <w:right w:w="15" w:type="dxa"/>
          </w:tblCellMar>
        </w:tblPrEx>
        <w:trPr>
          <w:trHeight w:val="1474" w:hRule="exact"/>
        </w:trPr>
        <w:tc>
          <w:tcPr>
            <w:tcW w:w="3332" w:type="dxa"/>
            <w:tcBorders>
              <w:top w:val="single" w:color="000000" w:sz="4" w:space="0"/>
              <w:left w:val="single" w:color="000000" w:sz="4" w:space="0"/>
              <w:bottom w:val="single" w:color="000000" w:sz="4" w:space="0"/>
              <w:right w:val="single" w:color="000000" w:sz="4" w:space="0"/>
            </w:tcBorders>
            <w:noWrap w:val="0"/>
            <w:vAlign w:val="center"/>
          </w:tcPr>
          <w:p w14:paraId="0DD739A2">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kern w:val="0"/>
                <w:sz w:val="32"/>
                <w:szCs w:val="32"/>
                <w:highlight w:val="none"/>
                <w:lang w:bidi="ar"/>
              </w:rPr>
            </w:pPr>
            <w:r>
              <w:rPr>
                <w:rFonts w:hint="eastAsia" w:ascii="仿宋_GB2312" w:hAnsi="宋体" w:eastAsia="仿宋_GB2312" w:cs="仿宋_GB2312"/>
                <w:b/>
                <w:color w:val="000000"/>
                <w:kern w:val="0"/>
                <w:sz w:val="32"/>
                <w:szCs w:val="32"/>
                <w:highlight w:val="none"/>
                <w:lang w:bidi="ar"/>
              </w:rPr>
              <w:t>项目负责人（职务）</w:t>
            </w:r>
          </w:p>
        </w:tc>
        <w:tc>
          <w:tcPr>
            <w:tcW w:w="5351" w:type="dxa"/>
            <w:tcBorders>
              <w:top w:val="single" w:color="000000" w:sz="4" w:space="0"/>
              <w:left w:val="single" w:color="000000" w:sz="4" w:space="0"/>
              <w:bottom w:val="single" w:color="000000" w:sz="4" w:space="0"/>
              <w:right w:val="single" w:color="000000" w:sz="4" w:space="0"/>
            </w:tcBorders>
            <w:noWrap w:val="0"/>
            <w:vAlign w:val="center"/>
          </w:tcPr>
          <w:p w14:paraId="582D9D22">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p>
        </w:tc>
      </w:tr>
      <w:tr w14:paraId="15C9CCE9">
        <w:tblPrEx>
          <w:tblCellMar>
            <w:top w:w="15" w:type="dxa"/>
            <w:left w:w="15" w:type="dxa"/>
            <w:bottom w:w="15" w:type="dxa"/>
            <w:right w:w="15" w:type="dxa"/>
          </w:tblCellMar>
        </w:tblPrEx>
        <w:trPr>
          <w:trHeight w:val="1474" w:hRule="exact"/>
        </w:trPr>
        <w:tc>
          <w:tcPr>
            <w:tcW w:w="3332" w:type="dxa"/>
            <w:tcBorders>
              <w:top w:val="single" w:color="000000" w:sz="4" w:space="0"/>
              <w:left w:val="single" w:color="000000" w:sz="4" w:space="0"/>
              <w:bottom w:val="single" w:color="000000" w:sz="4" w:space="0"/>
              <w:right w:val="single" w:color="000000" w:sz="4" w:space="0"/>
            </w:tcBorders>
            <w:noWrap w:val="0"/>
            <w:vAlign w:val="center"/>
          </w:tcPr>
          <w:p w14:paraId="6EAB5ECB">
            <w:pPr>
              <w:pageBreakBefore w:val="0"/>
              <w:widowControl/>
              <w:shd w:val="clear" w:color="auto" w:fill="auto"/>
              <w:kinsoku/>
              <w:wordWrap/>
              <w:overflowPunct/>
              <w:topLinePunct w:val="0"/>
              <w:bidi w:val="0"/>
              <w:spacing w:line="520" w:lineRule="exact"/>
              <w:jc w:val="center"/>
              <w:textAlignment w:val="center"/>
              <w:rPr>
                <w:rFonts w:hint="eastAsia" w:ascii="仿宋_GB2312" w:hAnsi="宋体" w:eastAsia="仿宋_GB2312" w:cs="仿宋_GB2312"/>
                <w:b/>
                <w:color w:val="000000"/>
                <w:kern w:val="0"/>
                <w:sz w:val="32"/>
                <w:szCs w:val="32"/>
                <w:highlight w:val="none"/>
                <w:lang w:val="en-US" w:eastAsia="zh-CN" w:bidi="ar"/>
              </w:rPr>
            </w:pPr>
            <w:r>
              <w:rPr>
                <w:rFonts w:hint="eastAsia" w:ascii="仿宋_GB2312" w:hAnsi="宋体" w:eastAsia="仿宋_GB2312" w:cs="仿宋_GB2312"/>
                <w:b/>
                <w:color w:val="000000"/>
                <w:kern w:val="0"/>
                <w:sz w:val="32"/>
                <w:szCs w:val="32"/>
                <w:highlight w:val="none"/>
                <w:lang w:val="en-US" w:eastAsia="zh-CN" w:bidi="ar"/>
              </w:rPr>
              <w:t>项目工作内容</w:t>
            </w:r>
          </w:p>
        </w:tc>
        <w:tc>
          <w:tcPr>
            <w:tcW w:w="5351" w:type="dxa"/>
            <w:tcBorders>
              <w:top w:val="single" w:color="000000" w:sz="4" w:space="0"/>
              <w:left w:val="single" w:color="000000" w:sz="4" w:space="0"/>
              <w:bottom w:val="single" w:color="000000" w:sz="4" w:space="0"/>
              <w:right w:val="single" w:color="000000" w:sz="4" w:space="0"/>
            </w:tcBorders>
            <w:noWrap w:val="0"/>
            <w:vAlign w:val="center"/>
          </w:tcPr>
          <w:p w14:paraId="4958362E">
            <w:pPr>
              <w:pageBreakBefore w:val="0"/>
              <w:widowControl/>
              <w:shd w:val="clear" w:color="auto" w:fill="auto"/>
              <w:kinsoku/>
              <w:wordWrap/>
              <w:overflowPunct/>
              <w:topLinePunct w:val="0"/>
              <w:bidi w:val="0"/>
              <w:spacing w:line="520" w:lineRule="exact"/>
              <w:jc w:val="center"/>
              <w:textAlignment w:val="center"/>
              <w:rPr>
                <w:rFonts w:hint="eastAsia" w:ascii="仿宋_GB2312" w:hAnsi="宋体" w:eastAsia="仿宋_GB2312" w:cs="仿宋_GB2312"/>
                <w:b/>
                <w:color w:val="000000"/>
                <w:kern w:val="0"/>
                <w:sz w:val="32"/>
                <w:szCs w:val="32"/>
                <w:highlight w:val="none"/>
                <w:lang w:bidi="ar"/>
              </w:rPr>
            </w:pPr>
          </w:p>
          <w:p w14:paraId="6193E266">
            <w:pPr>
              <w:pageBreakBefore w:val="0"/>
              <w:widowControl/>
              <w:shd w:val="clear" w:color="auto" w:fill="auto"/>
              <w:kinsoku/>
              <w:wordWrap/>
              <w:overflowPunct/>
              <w:topLinePunct w:val="0"/>
              <w:bidi w:val="0"/>
              <w:spacing w:line="520" w:lineRule="exact"/>
              <w:jc w:val="center"/>
              <w:textAlignment w:val="center"/>
              <w:rPr>
                <w:rFonts w:hint="eastAsia" w:ascii="仿宋_GB2312" w:hAnsi="宋体" w:eastAsia="仿宋_GB2312" w:cs="仿宋_GB2312"/>
                <w:b/>
                <w:color w:val="000000"/>
                <w:kern w:val="0"/>
                <w:sz w:val="32"/>
                <w:szCs w:val="32"/>
                <w:highlight w:val="none"/>
                <w:lang w:bidi="ar"/>
              </w:rPr>
            </w:pPr>
          </w:p>
        </w:tc>
      </w:tr>
      <w:tr w14:paraId="69536735">
        <w:tblPrEx>
          <w:tblCellMar>
            <w:top w:w="15" w:type="dxa"/>
            <w:left w:w="15" w:type="dxa"/>
            <w:bottom w:w="15" w:type="dxa"/>
            <w:right w:w="15" w:type="dxa"/>
          </w:tblCellMar>
        </w:tblPrEx>
        <w:trPr>
          <w:trHeight w:val="1474" w:hRule="exact"/>
        </w:trPr>
        <w:tc>
          <w:tcPr>
            <w:tcW w:w="3332" w:type="dxa"/>
            <w:tcBorders>
              <w:top w:val="single" w:color="000000" w:sz="4" w:space="0"/>
              <w:left w:val="single" w:color="000000" w:sz="4" w:space="0"/>
              <w:bottom w:val="single" w:color="000000" w:sz="4" w:space="0"/>
              <w:right w:val="single" w:color="000000" w:sz="4" w:space="0"/>
            </w:tcBorders>
            <w:noWrap w:val="0"/>
            <w:vAlign w:val="center"/>
          </w:tcPr>
          <w:p w14:paraId="214AEA48">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kern w:val="0"/>
                <w:sz w:val="32"/>
                <w:szCs w:val="32"/>
                <w:highlight w:val="none"/>
                <w:lang w:bidi="ar"/>
              </w:rPr>
            </w:pPr>
            <w:r>
              <w:rPr>
                <w:rFonts w:hint="eastAsia" w:ascii="仿宋_GB2312" w:hAnsi="宋体" w:eastAsia="仿宋_GB2312" w:cs="仿宋_GB2312"/>
                <w:b/>
                <w:color w:val="000000"/>
                <w:kern w:val="0"/>
                <w:sz w:val="32"/>
                <w:szCs w:val="32"/>
                <w:highlight w:val="none"/>
                <w:lang w:bidi="ar"/>
              </w:rPr>
              <w:t>报价</w:t>
            </w:r>
          </w:p>
        </w:tc>
        <w:tc>
          <w:tcPr>
            <w:tcW w:w="5351" w:type="dxa"/>
            <w:tcBorders>
              <w:top w:val="single" w:color="000000" w:sz="4" w:space="0"/>
              <w:left w:val="single" w:color="000000" w:sz="4" w:space="0"/>
              <w:bottom w:val="single" w:color="000000" w:sz="4" w:space="0"/>
              <w:right w:val="single" w:color="000000" w:sz="4" w:space="0"/>
            </w:tcBorders>
            <w:noWrap w:val="0"/>
            <w:vAlign w:val="center"/>
          </w:tcPr>
          <w:p w14:paraId="351E1BB0">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kern w:val="0"/>
                <w:sz w:val="32"/>
                <w:szCs w:val="32"/>
                <w:highlight w:val="none"/>
                <w:lang w:bidi="ar"/>
              </w:rPr>
            </w:pPr>
            <w:r>
              <w:rPr>
                <w:rFonts w:hint="eastAsia" w:ascii="仿宋_GB2312" w:hAnsi="宋体" w:eastAsia="仿宋_GB2312" w:cs="仿宋_GB2312"/>
                <w:b/>
                <w:color w:val="000000"/>
                <w:kern w:val="0"/>
                <w:sz w:val="32"/>
                <w:szCs w:val="32"/>
                <w:highlight w:val="none"/>
                <w:lang w:bidi="ar"/>
              </w:rPr>
              <w:t xml:space="preserve">     </w:t>
            </w:r>
            <w:r>
              <w:rPr>
                <w:rFonts w:hint="eastAsia" w:ascii="仿宋_GB2312" w:hAnsi="仿宋_GB2312" w:eastAsia="仿宋_GB2312" w:cs="仿宋_GB2312"/>
                <w:sz w:val="32"/>
                <w:szCs w:val="32"/>
                <w:highlight w:val="none"/>
                <w:lang w:val="en-US" w:eastAsia="zh-CN"/>
              </w:rPr>
              <w:t>****元（含税）</w:t>
            </w:r>
          </w:p>
        </w:tc>
      </w:tr>
    </w:tbl>
    <w:p w14:paraId="24E8E5A8">
      <w:pPr>
        <w:pageBreakBefore w:val="0"/>
        <w:shd w:val="clear" w:color="auto" w:fill="auto"/>
        <w:kinsoku/>
        <w:wordWrap/>
        <w:overflowPunct/>
        <w:topLinePunct w:val="0"/>
        <w:bidi w:val="0"/>
        <w:adjustRightInd w:val="0"/>
        <w:spacing w:line="520" w:lineRule="exact"/>
        <w:ind w:firstLine="640" w:firstLineChars="200"/>
        <w:jc w:val="right"/>
        <w:rPr>
          <w:rFonts w:hint="eastAsia" w:ascii="仿宋_GB2312" w:hAnsi="仿宋_GB2312" w:eastAsia="仿宋_GB2312" w:cs="仿宋_GB2312"/>
          <w:sz w:val="32"/>
          <w:szCs w:val="32"/>
          <w:highlight w:val="none"/>
          <w:lang w:val="en-US" w:eastAsia="zh-CN"/>
        </w:rPr>
      </w:pPr>
    </w:p>
    <w:p w14:paraId="28BD104C">
      <w:pPr>
        <w:pageBreakBefore w:val="0"/>
        <w:shd w:val="clear" w:color="auto" w:fill="auto"/>
        <w:kinsoku/>
        <w:wordWrap/>
        <w:overflowPunct/>
        <w:topLinePunct w:val="0"/>
        <w:bidi w:val="0"/>
        <w:adjustRightInd w:val="0"/>
        <w:spacing w:line="520" w:lineRule="exact"/>
        <w:ind w:firstLine="640" w:firstLineChars="200"/>
        <w:jc w:val="right"/>
        <w:rPr>
          <w:rFonts w:hint="eastAsia" w:ascii="仿宋_GB2312" w:hAnsi="仿宋_GB2312" w:eastAsia="仿宋_GB2312" w:cs="仿宋_GB2312"/>
          <w:sz w:val="32"/>
          <w:szCs w:val="32"/>
          <w:highlight w:val="none"/>
          <w:lang w:val="en-US" w:eastAsia="zh-CN"/>
        </w:rPr>
      </w:pPr>
    </w:p>
    <w:p w14:paraId="6FA90EA7">
      <w:pPr>
        <w:pStyle w:val="3"/>
        <w:pageBreakBefore w:val="0"/>
        <w:kinsoku/>
        <w:wordWrap/>
        <w:overflowPunct/>
        <w:topLinePunct w:val="0"/>
        <w:bidi w:val="0"/>
        <w:spacing w:line="520" w:lineRule="exact"/>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213C9122">
      <w:pPr>
        <w:pageBreakBefore w:val="0"/>
        <w:kinsoku/>
        <w:wordWrap/>
        <w:overflowPunct/>
        <w:topLinePunct w:val="0"/>
        <w:bidi w:val="0"/>
        <w:spacing w:line="520" w:lineRule="exact"/>
        <w:rPr>
          <w:rFonts w:hint="eastAsia" w:ascii="仿宋_GB2312" w:hAnsi="仿宋_GB2312" w:eastAsia="仿宋_GB2312" w:cs="仿宋_GB2312"/>
          <w:sz w:val="32"/>
          <w:szCs w:val="32"/>
          <w:highlight w:val="none"/>
          <w:lang w:val="en-US" w:eastAsia="zh-CN"/>
        </w:rPr>
      </w:pPr>
    </w:p>
    <w:p w14:paraId="59CB688A">
      <w:pPr>
        <w:pageBreakBefore w:val="0"/>
        <w:kinsoku/>
        <w:wordWrap/>
        <w:overflowPunct/>
        <w:topLinePunct w:val="0"/>
        <w:bidi w:val="0"/>
        <w:spacing w:line="520" w:lineRule="exact"/>
        <w:rPr>
          <w:rFonts w:hint="eastAsia" w:ascii="仿宋_GB2312" w:hAnsi="仿宋_GB2312" w:eastAsia="仿宋_GB2312" w:cs="仿宋_GB2312"/>
          <w:sz w:val="32"/>
          <w:szCs w:val="32"/>
          <w:highlight w:val="none"/>
          <w:lang w:val="en-US" w:eastAsia="zh-CN"/>
        </w:rPr>
      </w:pPr>
    </w:p>
    <w:p w14:paraId="11E6EE3B">
      <w:pPr>
        <w:pageBreakBefore w:val="0"/>
        <w:kinsoku/>
        <w:wordWrap/>
        <w:overflowPunct/>
        <w:topLinePunct w:val="0"/>
        <w:bidi w:val="0"/>
        <w:spacing w:line="520" w:lineRule="exact"/>
        <w:rPr>
          <w:rFonts w:hint="eastAsia" w:ascii="仿宋_GB2312" w:hAnsi="仿宋_GB2312" w:eastAsia="仿宋_GB2312" w:cs="仿宋_GB2312"/>
          <w:sz w:val="32"/>
          <w:szCs w:val="32"/>
          <w:highlight w:val="none"/>
          <w:lang w:val="en-US" w:eastAsia="zh-CN"/>
        </w:rPr>
      </w:pPr>
    </w:p>
    <w:p w14:paraId="5741AA0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highlight w:val="none"/>
          <w:lang w:val="en-US" w:eastAsia="zh-CN"/>
        </w:rPr>
      </w:pPr>
    </w:p>
    <w:p w14:paraId="2D7A275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highlight w:val="none"/>
          <w:lang w:val="en-US" w:eastAsia="zh-CN"/>
        </w:rPr>
      </w:pPr>
    </w:p>
    <w:p w14:paraId="3F2715A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878F755">
      <w:pPr>
        <w:pStyle w:val="5"/>
        <w:pageBreakBefore w:val="0"/>
        <w:kinsoku/>
        <w:wordWrap/>
        <w:overflowPunct/>
        <w:topLinePunct w:val="0"/>
        <w:bidi w:val="0"/>
        <w:spacing w:line="520" w:lineRule="exact"/>
        <w:contextualSpacing/>
        <w:jc w:val="center"/>
        <w:rPr>
          <w:rFonts w:hint="eastAsia" w:ascii="方正小标宋简体" w:hAnsi="方正小标宋简体" w:eastAsia="方正小标宋简体" w:cs="方正小标宋简体"/>
          <w:b w:val="0"/>
          <w:bCs/>
          <w:sz w:val="44"/>
          <w:szCs w:val="44"/>
          <w:highlight w:val="none"/>
          <w:lang w:val="zh-CN"/>
        </w:rPr>
      </w:pPr>
      <w:r>
        <w:rPr>
          <w:rFonts w:hint="eastAsia" w:ascii="方正小标宋简体" w:hAnsi="方正小标宋简体" w:eastAsia="方正小标宋简体" w:cs="方正小标宋简体"/>
          <w:b w:val="0"/>
          <w:bCs/>
          <w:sz w:val="44"/>
          <w:szCs w:val="44"/>
          <w:highlight w:val="none"/>
          <w:lang w:val="zh-CN"/>
        </w:rPr>
        <w:t>评标标准</w:t>
      </w:r>
    </w:p>
    <w:p w14:paraId="33DE9B8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一、资格审查</w:t>
      </w:r>
    </w:p>
    <w:p w14:paraId="407890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FF0000"/>
          <w:sz w:val="32"/>
          <w:szCs w:val="32"/>
          <w:highlight w:val="none"/>
          <w:lang w:val="zh-CN" w:eastAsia="zh-CN"/>
        </w:rPr>
      </w:pPr>
      <w:r>
        <w:rPr>
          <w:rFonts w:hint="eastAsia" w:ascii="仿宋_GB2312" w:hAnsi="仿宋_GB2312" w:eastAsia="仿宋_GB2312" w:cs="仿宋_GB2312"/>
          <w:sz w:val="32"/>
          <w:szCs w:val="32"/>
          <w:highlight w:val="none"/>
          <w:lang w:eastAsia="zh-CN"/>
        </w:rPr>
        <w:t>评审小组对</w:t>
      </w: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lang w:eastAsia="zh-CN"/>
        </w:rPr>
        <w:t>人资格进行检查。</w:t>
      </w:r>
      <w:r>
        <w:rPr>
          <w:rFonts w:hint="eastAsia" w:ascii="仿宋_GB2312" w:hAnsi="仿宋_GB2312" w:eastAsia="仿宋_GB2312" w:cs="仿宋_GB2312"/>
          <w:sz w:val="32"/>
          <w:szCs w:val="32"/>
          <w:highlight w:val="none"/>
          <w:lang w:val="zh-CN" w:eastAsia="zh-CN"/>
        </w:rPr>
        <w:t>确定符合资格的</w:t>
      </w: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lang w:val="zh-CN" w:eastAsia="zh-CN"/>
        </w:rPr>
        <w:t>人不少于3</w:t>
      </w:r>
      <w:r>
        <w:rPr>
          <w:rFonts w:hint="eastAsia" w:ascii="仿宋_GB2312" w:hAnsi="仿宋_GB2312" w:eastAsia="仿宋_GB2312" w:cs="仿宋_GB2312"/>
          <w:color w:val="auto"/>
          <w:sz w:val="32"/>
          <w:szCs w:val="32"/>
          <w:highlight w:val="none"/>
          <w:lang w:val="zh-CN" w:eastAsia="zh-CN"/>
        </w:rPr>
        <w:t>家后对投标文件进行符合性审查，</w:t>
      </w:r>
      <w:r>
        <w:rPr>
          <w:rFonts w:hint="eastAsia" w:ascii="仿宋_GB2312" w:hAnsi="仿宋_GB2312" w:eastAsia="仿宋_GB2312" w:cs="仿宋_GB2312"/>
          <w:color w:val="auto"/>
          <w:sz w:val="32"/>
          <w:szCs w:val="32"/>
          <w:highlight w:val="none"/>
          <w:lang w:val="en-US" w:eastAsia="zh-CN"/>
        </w:rPr>
        <w:t>少于三家则本次评标过程无效</w:t>
      </w:r>
      <w:r>
        <w:rPr>
          <w:rFonts w:hint="eastAsia" w:ascii="仿宋_GB2312" w:hAnsi="仿宋_GB2312" w:eastAsia="仿宋_GB2312" w:cs="仿宋_GB2312"/>
          <w:color w:val="auto"/>
          <w:sz w:val="32"/>
          <w:szCs w:val="32"/>
          <w:highlight w:val="none"/>
          <w:lang w:val="zh-CN" w:eastAsia="zh-CN"/>
        </w:rPr>
        <w:t>。</w:t>
      </w:r>
    </w:p>
    <w:p w14:paraId="177E4F2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二、评审</w:t>
      </w:r>
    </w:p>
    <w:p w14:paraId="0E8553C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（一）评审方法</w:t>
      </w:r>
    </w:p>
    <w:p w14:paraId="21ED026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本项目采用综合评分法。总分为 100 分。</w:t>
      </w:r>
    </w:p>
    <w:p w14:paraId="413B75D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zh-CN" w:eastAsia="zh-CN"/>
        </w:rPr>
        <w:t>（二）评分办法</w:t>
      </w:r>
    </w:p>
    <w:tbl>
      <w:tblPr>
        <w:tblStyle w:val="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14:paraId="4248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913" w:type="dxa"/>
            <w:gridSpan w:val="2"/>
            <w:noWrap w:val="0"/>
            <w:vAlign w:val="center"/>
          </w:tcPr>
          <w:p w14:paraId="027A9341">
            <w:pPr>
              <w:pageBreakBefore w:val="0"/>
              <w:tabs>
                <w:tab w:val="left" w:pos="1260"/>
              </w:tabs>
              <w:kinsoku/>
              <w:wordWrap/>
              <w:overflowPunct/>
              <w:topLinePunct w:val="0"/>
              <w:autoSpaceDE w:val="0"/>
              <w:autoSpaceDN w:val="0"/>
              <w:bidi w:val="0"/>
              <w:adjustRightInd w:val="0"/>
              <w:snapToGrid w:val="0"/>
              <w:spacing w:line="520" w:lineRule="exact"/>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分值构成</w:t>
            </w:r>
          </w:p>
          <w:p w14:paraId="34F6FF30">
            <w:pPr>
              <w:pageBreakBefore w:val="0"/>
              <w:tabs>
                <w:tab w:val="left" w:pos="1260"/>
              </w:tabs>
              <w:kinsoku/>
              <w:wordWrap/>
              <w:overflowPunct/>
              <w:topLinePunct w:val="0"/>
              <w:autoSpaceDE w:val="0"/>
              <w:autoSpaceDN w:val="0"/>
              <w:bidi w:val="0"/>
              <w:adjustRightInd w:val="0"/>
              <w:snapToGrid w:val="0"/>
              <w:spacing w:line="520" w:lineRule="exact"/>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(总分100分)</w:t>
            </w:r>
          </w:p>
        </w:tc>
        <w:tc>
          <w:tcPr>
            <w:tcW w:w="6786" w:type="dxa"/>
            <w:noWrap w:val="0"/>
            <w:vAlign w:val="center"/>
          </w:tcPr>
          <w:p w14:paraId="2C3C5332">
            <w:pPr>
              <w:pageBreakBefore w:val="0"/>
              <w:tabs>
                <w:tab w:val="left" w:pos="1260"/>
              </w:tabs>
              <w:kinsoku/>
              <w:wordWrap/>
              <w:overflowPunct/>
              <w:topLinePunct w:val="0"/>
              <w:autoSpaceDE w:val="0"/>
              <w:autoSpaceDN w:val="0"/>
              <w:bidi w:val="0"/>
              <w:adjustRightInd w:val="0"/>
              <w:snapToGrid w:val="0"/>
              <w:spacing w:line="520" w:lineRule="exact"/>
              <w:jc w:val="left"/>
              <w:rPr>
                <w:rFonts w:hint="eastAsia" w:ascii="仿宋_GB2312" w:hAnsi="仿宋_GB2312" w:eastAsia="仿宋_GB2312" w:cs="仿宋_GB2312"/>
                <w:sz w:val="32"/>
                <w:szCs w:val="32"/>
                <w:highlight w:val="none"/>
                <w:u w:val="single"/>
                <w:lang w:val="zh-CN"/>
              </w:rPr>
            </w:pPr>
            <w:r>
              <w:rPr>
                <w:rFonts w:hint="eastAsia" w:ascii="仿宋_GB2312" w:hAnsi="仿宋_GB2312" w:eastAsia="仿宋_GB2312" w:cs="仿宋_GB2312"/>
                <w:sz w:val="32"/>
                <w:szCs w:val="32"/>
                <w:highlight w:val="none"/>
                <w:lang w:val="zh-CN"/>
              </w:rPr>
              <w:t>价格分值：</w:t>
            </w:r>
            <w:r>
              <w:rPr>
                <w:rFonts w:hint="eastAsia" w:ascii="仿宋_GB2312" w:hAnsi="仿宋_GB2312" w:eastAsia="仿宋_GB2312" w:cs="仿宋_GB2312"/>
                <w:sz w:val="32"/>
                <w:szCs w:val="32"/>
                <w:highlight w:val="none"/>
                <w:u w:val="single"/>
                <w:lang w:val="en-US" w:eastAsia="zh-CN"/>
              </w:rPr>
              <w:t>25</w:t>
            </w:r>
            <w:r>
              <w:rPr>
                <w:rFonts w:hint="eastAsia" w:ascii="仿宋_GB2312" w:hAnsi="仿宋_GB2312" w:eastAsia="仿宋_GB2312" w:cs="仿宋_GB2312"/>
                <w:sz w:val="32"/>
                <w:szCs w:val="32"/>
                <w:highlight w:val="none"/>
                <w:u w:val="single"/>
                <w:lang w:val="zh-CN"/>
              </w:rPr>
              <w:t>分</w:t>
            </w:r>
          </w:p>
          <w:p w14:paraId="1611523F">
            <w:pPr>
              <w:pageBreakBefore w:val="0"/>
              <w:kinsoku/>
              <w:wordWrap/>
              <w:overflowPunct/>
              <w:topLinePunct w:val="0"/>
              <w:bidi w:val="0"/>
              <w:adjustRightInd w:val="0"/>
              <w:snapToGrid w:val="0"/>
              <w:spacing w:line="520" w:lineRule="exact"/>
              <w:jc w:val="both"/>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服务人员部分：</w:t>
            </w:r>
            <w:r>
              <w:rPr>
                <w:rFonts w:hint="eastAsia" w:ascii="仿宋_GB2312" w:hAnsi="仿宋_GB2312" w:eastAsia="仿宋_GB2312" w:cs="仿宋_GB2312"/>
                <w:sz w:val="32"/>
                <w:szCs w:val="32"/>
                <w:highlight w:val="none"/>
                <w:u w:val="single"/>
                <w:lang w:val="en-US" w:eastAsia="zh-CN"/>
              </w:rPr>
              <w:t xml:space="preserve"> 20</w:t>
            </w:r>
            <w:r>
              <w:rPr>
                <w:rFonts w:hint="eastAsia" w:ascii="仿宋_GB2312" w:hAnsi="仿宋_GB2312" w:eastAsia="仿宋_GB2312" w:cs="仿宋_GB2312"/>
                <w:sz w:val="32"/>
                <w:szCs w:val="32"/>
                <w:highlight w:val="none"/>
                <w:u w:val="single"/>
                <w:lang w:val="zh-CN"/>
              </w:rPr>
              <w:t>分</w:t>
            </w:r>
          </w:p>
          <w:p w14:paraId="280467BD">
            <w:pPr>
              <w:pageBreakBefore w:val="0"/>
              <w:tabs>
                <w:tab w:val="left" w:pos="1260"/>
              </w:tabs>
              <w:kinsoku/>
              <w:wordWrap/>
              <w:overflowPunct/>
              <w:topLinePunct w:val="0"/>
              <w:autoSpaceDE w:val="0"/>
              <w:autoSpaceDN w:val="0"/>
              <w:bidi w:val="0"/>
              <w:adjustRightInd w:val="0"/>
              <w:snapToGrid w:val="0"/>
              <w:spacing w:line="520" w:lineRule="exact"/>
              <w:jc w:val="left"/>
              <w:rPr>
                <w:rFonts w:hint="eastAsia" w:ascii="仿宋_GB2312" w:hAnsi="仿宋_GB2312" w:eastAsia="仿宋_GB2312" w:cs="仿宋_GB2312"/>
                <w:sz w:val="32"/>
                <w:szCs w:val="32"/>
                <w:highlight w:val="none"/>
                <w:u w:val="single"/>
                <w:lang w:val="zh-CN"/>
              </w:rPr>
            </w:pPr>
            <w:r>
              <w:rPr>
                <w:rFonts w:hint="eastAsia" w:ascii="仿宋_GB2312" w:hAnsi="仿宋_GB2312" w:eastAsia="仿宋_GB2312" w:cs="仿宋_GB2312"/>
                <w:sz w:val="32"/>
                <w:szCs w:val="32"/>
                <w:highlight w:val="none"/>
                <w:lang w:val="en-US" w:eastAsia="zh-CN"/>
              </w:rPr>
              <w:t>业绩</w:t>
            </w:r>
            <w:r>
              <w:rPr>
                <w:rFonts w:hint="eastAsia" w:ascii="仿宋_GB2312" w:hAnsi="仿宋_GB2312" w:eastAsia="仿宋_GB2312" w:cs="仿宋_GB2312"/>
                <w:sz w:val="32"/>
                <w:szCs w:val="32"/>
                <w:highlight w:val="none"/>
                <w:lang w:val="zh-CN"/>
              </w:rPr>
              <w:t>部分：</w:t>
            </w:r>
            <w:r>
              <w:rPr>
                <w:rFonts w:hint="eastAsia" w:ascii="仿宋_GB2312" w:hAnsi="仿宋_GB2312" w:eastAsia="仿宋_GB2312" w:cs="仿宋_GB2312"/>
                <w:sz w:val="32"/>
                <w:szCs w:val="32"/>
                <w:highlight w:val="none"/>
                <w:u w:val="single"/>
                <w:lang w:val="en-US" w:eastAsia="zh-CN"/>
              </w:rPr>
              <w:t xml:space="preserve"> 20</w:t>
            </w:r>
            <w:r>
              <w:rPr>
                <w:rFonts w:hint="eastAsia" w:ascii="仿宋_GB2312" w:hAnsi="仿宋_GB2312" w:eastAsia="仿宋_GB2312" w:cs="仿宋_GB2312"/>
                <w:sz w:val="32"/>
                <w:szCs w:val="32"/>
                <w:highlight w:val="none"/>
                <w:u w:val="single"/>
                <w:lang w:val="zh-CN"/>
              </w:rPr>
              <w:t>分</w:t>
            </w:r>
          </w:p>
          <w:p w14:paraId="3271E252">
            <w:pPr>
              <w:pageBreakBefore w:val="0"/>
              <w:tabs>
                <w:tab w:val="left" w:pos="1260"/>
              </w:tabs>
              <w:kinsoku/>
              <w:wordWrap/>
              <w:overflowPunct/>
              <w:topLinePunct w:val="0"/>
              <w:autoSpaceDE w:val="0"/>
              <w:autoSpaceDN w:val="0"/>
              <w:bidi w:val="0"/>
              <w:adjustRightInd w:val="0"/>
              <w:snapToGrid w:val="0"/>
              <w:spacing w:line="520" w:lineRule="exact"/>
              <w:jc w:val="left"/>
              <w:rPr>
                <w:rFonts w:hint="default"/>
                <w:highlight w:val="none"/>
                <w:lang w:val="en-US"/>
              </w:rPr>
            </w:pPr>
            <w:r>
              <w:rPr>
                <w:rFonts w:hint="eastAsia" w:ascii="仿宋_GB2312" w:hAnsi="仿宋_GB2312" w:eastAsia="仿宋_GB2312" w:cs="仿宋_GB2312"/>
                <w:sz w:val="32"/>
                <w:szCs w:val="32"/>
                <w:highlight w:val="none"/>
                <w:lang w:val="en-US" w:eastAsia="zh-CN"/>
              </w:rPr>
              <w:t>服务方案</w:t>
            </w:r>
            <w:r>
              <w:rPr>
                <w:rFonts w:hint="eastAsia" w:ascii="仿宋_GB2312" w:hAnsi="仿宋_GB2312" w:eastAsia="仿宋_GB2312" w:cs="仿宋_GB2312"/>
                <w:sz w:val="32"/>
                <w:szCs w:val="32"/>
                <w:highlight w:val="none"/>
                <w:lang w:val="zh-CN" w:eastAsia="zh-CN"/>
              </w:rPr>
              <w:t>部分：</w:t>
            </w:r>
            <w:r>
              <w:rPr>
                <w:rFonts w:hint="eastAsia" w:ascii="仿宋_GB2312" w:hAnsi="仿宋_GB2312" w:eastAsia="仿宋_GB2312" w:cs="仿宋_GB2312"/>
                <w:sz w:val="32"/>
                <w:szCs w:val="32"/>
                <w:highlight w:val="none"/>
                <w:u w:val="single"/>
                <w:lang w:val="en-US" w:eastAsia="zh-CN"/>
              </w:rPr>
              <w:t>35</w:t>
            </w:r>
            <w:r>
              <w:rPr>
                <w:rFonts w:hint="eastAsia" w:ascii="仿宋_GB2312" w:hAnsi="仿宋_GB2312" w:eastAsia="仿宋_GB2312" w:cs="仿宋_GB2312"/>
                <w:i w:val="0"/>
                <w:iCs w:val="0"/>
                <w:sz w:val="32"/>
                <w:szCs w:val="32"/>
                <w:highlight w:val="none"/>
                <w:u w:val="single"/>
                <w:lang w:val="en-US" w:eastAsia="zh-CN"/>
              </w:rPr>
              <w:t>分</w:t>
            </w:r>
          </w:p>
        </w:tc>
      </w:tr>
      <w:tr w14:paraId="2B35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508" w:type="dxa"/>
            <w:noWrap w:val="0"/>
            <w:tcMar>
              <w:top w:w="0" w:type="dxa"/>
              <w:left w:w="0" w:type="dxa"/>
              <w:bottom w:w="0" w:type="dxa"/>
              <w:right w:w="0" w:type="dxa"/>
            </w:tcMar>
            <w:vAlign w:val="center"/>
          </w:tcPr>
          <w:p w14:paraId="34F4D813">
            <w:pPr>
              <w:pageBreakBefore w:val="0"/>
              <w:kinsoku/>
              <w:wordWrap/>
              <w:overflowPunct/>
              <w:topLinePunct w:val="0"/>
              <w:bidi w:val="0"/>
              <w:spacing w:line="520" w:lineRule="exact"/>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评审项</w:t>
            </w:r>
          </w:p>
        </w:tc>
        <w:tc>
          <w:tcPr>
            <w:tcW w:w="1405" w:type="dxa"/>
            <w:noWrap w:val="0"/>
            <w:tcMar>
              <w:top w:w="0" w:type="dxa"/>
              <w:left w:w="0" w:type="dxa"/>
              <w:bottom w:w="0" w:type="dxa"/>
              <w:right w:w="0" w:type="dxa"/>
            </w:tcMar>
            <w:vAlign w:val="center"/>
          </w:tcPr>
          <w:p w14:paraId="56199E6E">
            <w:pPr>
              <w:pageBreakBefore w:val="0"/>
              <w:kinsoku/>
              <w:wordWrap/>
              <w:overflowPunct/>
              <w:topLinePunct w:val="0"/>
              <w:bidi w:val="0"/>
              <w:spacing w:line="520" w:lineRule="exact"/>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评分因素</w:t>
            </w:r>
          </w:p>
        </w:tc>
        <w:tc>
          <w:tcPr>
            <w:tcW w:w="6786" w:type="dxa"/>
            <w:noWrap w:val="0"/>
            <w:tcMar>
              <w:top w:w="0" w:type="dxa"/>
              <w:left w:w="0" w:type="dxa"/>
              <w:bottom w:w="0" w:type="dxa"/>
              <w:right w:w="0" w:type="dxa"/>
            </w:tcMar>
            <w:vAlign w:val="center"/>
          </w:tcPr>
          <w:p w14:paraId="6339DBF1">
            <w:pPr>
              <w:pageBreakBefore w:val="0"/>
              <w:kinsoku/>
              <w:wordWrap/>
              <w:overflowPunct/>
              <w:topLinePunct w:val="0"/>
              <w:bidi w:val="0"/>
              <w:spacing w:line="520" w:lineRule="exact"/>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评标标准</w:t>
            </w:r>
          </w:p>
        </w:tc>
      </w:tr>
      <w:tr w14:paraId="0A42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1508" w:type="dxa"/>
            <w:noWrap w:val="0"/>
            <w:tcMar>
              <w:top w:w="0" w:type="dxa"/>
              <w:left w:w="0" w:type="dxa"/>
              <w:bottom w:w="0" w:type="dxa"/>
              <w:right w:w="0" w:type="dxa"/>
            </w:tcMar>
            <w:vAlign w:val="center"/>
          </w:tcPr>
          <w:p w14:paraId="39F5EC4E">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rPr>
              <w:t>报价</w:t>
            </w:r>
          </w:p>
          <w:p w14:paraId="7AA3C1E7">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分）</w:t>
            </w:r>
          </w:p>
        </w:tc>
        <w:tc>
          <w:tcPr>
            <w:tcW w:w="1405" w:type="dxa"/>
            <w:noWrap w:val="0"/>
            <w:tcMar>
              <w:top w:w="0" w:type="dxa"/>
              <w:left w:w="0" w:type="dxa"/>
              <w:bottom w:w="0" w:type="dxa"/>
              <w:right w:w="0" w:type="dxa"/>
            </w:tcMar>
            <w:vAlign w:val="center"/>
          </w:tcPr>
          <w:p w14:paraId="416709D0">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jc w:val="both"/>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报价得分</w:t>
            </w:r>
          </w:p>
          <w:p w14:paraId="5870428D">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jc w:val="both"/>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lang w:val="zh-CN" w:eastAsia="zh-CN"/>
              </w:rPr>
              <w:t>分）</w:t>
            </w:r>
          </w:p>
        </w:tc>
        <w:tc>
          <w:tcPr>
            <w:tcW w:w="6786" w:type="dxa"/>
            <w:noWrap w:val="0"/>
            <w:tcMar>
              <w:top w:w="0" w:type="dxa"/>
              <w:left w:w="0" w:type="dxa"/>
              <w:bottom w:w="0" w:type="dxa"/>
              <w:right w:w="0" w:type="dxa"/>
            </w:tcMar>
            <w:vAlign w:val="center"/>
          </w:tcPr>
          <w:p w14:paraId="2E3F925A">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收费超过3</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val="zh-CN" w:eastAsia="zh-CN"/>
              </w:rPr>
              <w:t>万元为无效报价</w:t>
            </w:r>
          </w:p>
          <w:p w14:paraId="650A0E1E">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eastAsia="zh-CN"/>
              </w:rPr>
              <w:t>投标报价得分=（基准价/</w:t>
            </w: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lang w:val="zh-CN" w:eastAsia="zh-CN"/>
              </w:rPr>
              <w:t>报价）×</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lang w:val="zh-CN" w:eastAsia="zh-CN"/>
              </w:rPr>
              <w:t>分。满足招标文件要求的</w:t>
            </w:r>
            <w:r>
              <w:rPr>
                <w:rFonts w:hint="eastAsia" w:ascii="仿宋_GB2312" w:hAnsi="仿宋_GB2312" w:eastAsia="仿宋_GB2312" w:cs="仿宋_GB2312"/>
                <w:sz w:val="32"/>
                <w:szCs w:val="32"/>
                <w:highlight w:val="none"/>
                <w:lang w:val="en-US" w:eastAsia="zh-CN"/>
              </w:rPr>
              <w:t>所</w:t>
            </w:r>
            <w:r>
              <w:rPr>
                <w:rFonts w:hint="eastAsia" w:ascii="仿宋_GB2312" w:hAnsi="仿宋_GB2312" w:eastAsia="仿宋_GB2312" w:cs="仿宋_GB2312"/>
                <w:sz w:val="32"/>
                <w:szCs w:val="32"/>
                <w:highlight w:val="none"/>
                <w:lang w:val="zh-CN" w:eastAsia="zh-CN"/>
              </w:rPr>
              <w:t>有</w:t>
            </w:r>
            <w:r>
              <w:rPr>
                <w:rFonts w:hint="eastAsia" w:ascii="仿宋_GB2312" w:hAnsi="仿宋_GB2312" w:eastAsia="仿宋_GB2312" w:cs="仿宋_GB2312"/>
                <w:sz w:val="32"/>
                <w:szCs w:val="32"/>
                <w:highlight w:val="none"/>
                <w:lang w:val="en-US" w:eastAsia="zh-CN"/>
              </w:rPr>
              <w:t>有</w:t>
            </w:r>
            <w:r>
              <w:rPr>
                <w:rFonts w:hint="eastAsia" w:ascii="仿宋_GB2312" w:hAnsi="仿宋_GB2312" w:eastAsia="仿宋_GB2312" w:cs="仿宋_GB2312"/>
                <w:sz w:val="32"/>
                <w:szCs w:val="32"/>
                <w:highlight w:val="none"/>
                <w:lang w:val="zh-CN" w:eastAsia="zh-CN"/>
              </w:rPr>
              <w:t>效投标报价中，最低的投标报价为评标基准价。</w:t>
            </w:r>
          </w:p>
        </w:tc>
      </w:tr>
      <w:tr w14:paraId="53DC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08" w:type="dxa"/>
            <w:noWrap w:val="0"/>
            <w:tcMar>
              <w:top w:w="0" w:type="dxa"/>
              <w:left w:w="0" w:type="dxa"/>
              <w:bottom w:w="0" w:type="dxa"/>
              <w:right w:w="0" w:type="dxa"/>
            </w:tcMar>
            <w:vAlign w:val="center"/>
          </w:tcPr>
          <w:p w14:paraId="3F3C3316">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服务人员部分</w:t>
            </w:r>
          </w:p>
          <w:p w14:paraId="3EC54DCB">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w:t>
            </w:r>
          </w:p>
        </w:tc>
        <w:tc>
          <w:tcPr>
            <w:tcW w:w="1405" w:type="dxa"/>
            <w:noWrap w:val="0"/>
            <w:tcMar>
              <w:top w:w="0" w:type="dxa"/>
              <w:left w:w="0" w:type="dxa"/>
              <w:bottom w:w="0" w:type="dxa"/>
              <w:right w:w="0" w:type="dxa"/>
            </w:tcMar>
            <w:vAlign w:val="center"/>
          </w:tcPr>
          <w:p w14:paraId="55165FD1">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服务部分</w:t>
            </w:r>
          </w:p>
          <w:p w14:paraId="27D6AE00">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w:t>
            </w:r>
          </w:p>
        </w:tc>
        <w:tc>
          <w:tcPr>
            <w:tcW w:w="6786" w:type="dxa"/>
            <w:noWrap w:val="0"/>
            <w:tcMar>
              <w:top w:w="0" w:type="dxa"/>
              <w:left w:w="0" w:type="dxa"/>
              <w:bottom w:w="0" w:type="dxa"/>
              <w:right w:w="0" w:type="dxa"/>
            </w:tcMar>
            <w:vAlign w:val="center"/>
          </w:tcPr>
          <w:p w14:paraId="222E5930">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1.服务团队须组建专业齐全的评估服务项目团队，需具备评估师资格，至少配备一名房地产估价师，每有1人得5分。本项最高得15分。</w:t>
            </w:r>
          </w:p>
          <w:p w14:paraId="4C821CA5">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2.需指定项目负责人，项目负责人需具有工程类、经济类、会计类等相关专业中级职称的得</w:t>
            </w:r>
            <w:r>
              <w:rPr>
                <w:rFonts w:hint="eastAsia" w:ascii="Times New Roman" w:hAnsi="Times New Roman" w:eastAsia="仿宋_GB2312" w:cs="Times New Roman"/>
                <w:color w:val="auto"/>
                <w:sz w:val="32"/>
                <w:szCs w:val="32"/>
                <w:lang w:val="en-US" w:eastAsia="zh-CN"/>
              </w:rPr>
              <w:t>3.5</w:t>
            </w:r>
            <w:r>
              <w:rPr>
                <w:rFonts w:hint="eastAsia" w:ascii="仿宋_GB2312" w:hAnsi="仿宋_GB2312" w:eastAsia="仿宋_GB2312" w:cs="仿宋_GB2312"/>
                <w:sz w:val="32"/>
                <w:szCs w:val="32"/>
                <w:highlight w:val="none"/>
                <w:lang w:val="en-US" w:eastAsia="zh-CN"/>
              </w:rPr>
              <w:t>分，具有高级职称的得5分。本项最高得分5分。</w:t>
            </w:r>
          </w:p>
          <w:p w14:paraId="080D3E25">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注:以上人员证书除提供证书复印件外同时应提供人员劳动合同等证明文件。</w:t>
            </w:r>
          </w:p>
        </w:tc>
      </w:tr>
      <w:tr w14:paraId="13F8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508" w:type="dxa"/>
            <w:shd w:val="clear" w:color="auto" w:fill="auto"/>
            <w:noWrap w:val="0"/>
            <w:tcMar>
              <w:top w:w="0" w:type="dxa"/>
              <w:left w:w="0" w:type="dxa"/>
              <w:bottom w:w="0" w:type="dxa"/>
              <w:right w:w="0" w:type="dxa"/>
            </w:tcMar>
            <w:vAlign w:val="center"/>
          </w:tcPr>
          <w:p w14:paraId="4BF56182">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rPr>
              <w:t>业绩</w:t>
            </w:r>
          </w:p>
          <w:p w14:paraId="4E1BCC35">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分）</w:t>
            </w:r>
          </w:p>
        </w:tc>
        <w:tc>
          <w:tcPr>
            <w:tcW w:w="1405" w:type="dxa"/>
            <w:shd w:val="clear" w:color="auto" w:fill="auto"/>
            <w:noWrap w:val="0"/>
            <w:tcMar>
              <w:top w:w="0" w:type="dxa"/>
              <w:left w:w="0" w:type="dxa"/>
              <w:bottom w:w="0" w:type="dxa"/>
              <w:right w:w="0" w:type="dxa"/>
            </w:tcMar>
            <w:vAlign w:val="center"/>
          </w:tcPr>
          <w:p w14:paraId="376E0A65">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业绩</w:t>
            </w:r>
          </w:p>
          <w:p w14:paraId="6591406E">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分）</w:t>
            </w:r>
          </w:p>
        </w:tc>
        <w:tc>
          <w:tcPr>
            <w:tcW w:w="6786" w:type="dxa"/>
            <w:noWrap w:val="0"/>
            <w:tcMar>
              <w:top w:w="0" w:type="dxa"/>
              <w:left w:w="0" w:type="dxa"/>
              <w:bottom w:w="0" w:type="dxa"/>
              <w:right w:w="0" w:type="dxa"/>
            </w:tcMar>
            <w:vAlign w:val="center"/>
          </w:tcPr>
          <w:p w14:paraId="011F6E85">
            <w:pPr>
              <w:pageBreakBefore w:val="0"/>
              <w:kinsoku/>
              <w:wordWrap/>
              <w:overflowPunct/>
              <w:topLinePunct w:val="0"/>
              <w:bidi w:val="0"/>
              <w:adjustRightInd w:val="0"/>
              <w:snapToGrid w:val="0"/>
              <w:spacing w:line="520" w:lineRule="exact"/>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企业业绩20分。</w:t>
            </w:r>
            <w:r>
              <w:rPr>
                <w:rFonts w:hint="eastAsia" w:ascii="仿宋_GB2312" w:hAnsi="仿宋_GB2312" w:eastAsia="仿宋_GB2312" w:cs="仿宋_GB2312"/>
                <w:sz w:val="32"/>
                <w:szCs w:val="32"/>
                <w:highlight w:val="none"/>
                <w:lang w:val="zh-CN" w:eastAsia="zh-CN"/>
              </w:rPr>
              <w:t>企业每提供一项202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eastAsia="zh-CN"/>
              </w:rPr>
              <w:t>年1月1日以来每提供一个租金相关评估服务合同得5</w:t>
            </w:r>
            <w:r>
              <w:rPr>
                <w:rFonts w:hint="eastAsia" w:ascii="仿宋_GB2312" w:hAnsi="仿宋_GB2312" w:eastAsia="仿宋_GB2312" w:cs="仿宋_GB2312"/>
                <w:sz w:val="32"/>
                <w:szCs w:val="32"/>
                <w:highlight w:val="none"/>
                <w:lang w:val="en-US" w:eastAsia="zh-CN"/>
              </w:rPr>
              <w:t>分，</w:t>
            </w:r>
            <w:r>
              <w:rPr>
                <w:rFonts w:hint="eastAsia" w:ascii="仿宋_GB2312" w:hAnsi="仿宋_GB2312" w:eastAsia="仿宋_GB2312" w:cs="仿宋_GB2312"/>
                <w:sz w:val="32"/>
                <w:szCs w:val="32"/>
                <w:highlight w:val="none"/>
                <w:lang w:val="zh-CN" w:eastAsia="zh-CN"/>
              </w:rPr>
              <w:t>本项最高得分</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lang w:val="zh-CN" w:eastAsia="zh-CN"/>
              </w:rPr>
              <w:t xml:space="preserve"> 分。</w:t>
            </w:r>
          </w:p>
          <w:p w14:paraId="17B6611E">
            <w:pPr>
              <w:pageBreakBefore w:val="0"/>
              <w:kinsoku/>
              <w:wordWrap/>
              <w:overflowPunct/>
              <w:topLinePunct w:val="0"/>
              <w:bidi w:val="0"/>
              <w:adjustRightInd w:val="0"/>
              <w:snapToGrid w:val="0"/>
              <w:spacing w:line="520" w:lineRule="exact"/>
              <w:ind w:firstLine="640" w:firstLineChars="200"/>
              <w:jc w:val="left"/>
              <w:rPr>
                <w:rFonts w:hint="default"/>
                <w:lang w:val="en-US" w:eastAsia="zh-CN"/>
              </w:rPr>
            </w:pPr>
            <w:r>
              <w:rPr>
                <w:rFonts w:hint="eastAsia" w:ascii="仿宋_GB2312" w:hAnsi="仿宋_GB2312" w:eastAsia="仿宋_GB2312" w:cs="仿宋_GB2312"/>
                <w:sz w:val="32"/>
                <w:szCs w:val="32"/>
                <w:highlight w:val="none"/>
                <w:lang w:val="zh-CN" w:eastAsia="zh-CN"/>
              </w:rPr>
              <w:t>时间以合同签订时间为准，需提供合同扫描件或复印件，否则不得分。</w:t>
            </w:r>
          </w:p>
        </w:tc>
      </w:tr>
      <w:tr w14:paraId="25CA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508" w:type="dxa"/>
            <w:shd w:val="clear" w:color="auto" w:fill="auto"/>
            <w:noWrap w:val="0"/>
            <w:tcMar>
              <w:top w:w="0" w:type="dxa"/>
              <w:left w:w="0" w:type="dxa"/>
              <w:bottom w:w="0" w:type="dxa"/>
              <w:right w:w="0" w:type="dxa"/>
            </w:tcMar>
            <w:vAlign w:val="center"/>
          </w:tcPr>
          <w:p w14:paraId="55453AE0">
            <w:pPr>
              <w:pageBreakBefore w:val="0"/>
              <w:kinsoku/>
              <w:wordWrap/>
              <w:overflowPunct/>
              <w:topLinePunct w:val="0"/>
              <w:bidi w:val="0"/>
              <w:adjustRightInd w:val="0"/>
              <w:snapToGrid w:val="0"/>
              <w:spacing w:line="520" w:lineRule="exact"/>
              <w:jc w:val="center"/>
              <w:rPr>
                <w:rFonts w:hint="eastAsia" w:asciiTheme="minorHAnsi" w:hAnsiTheme="minorHAnsi" w:eastAsiaTheme="minorEastAsia" w:cstheme="minorBidi"/>
                <w:kern w:val="2"/>
                <w:sz w:val="21"/>
                <w:szCs w:val="24"/>
                <w:highlight w:val="none"/>
                <w:lang w:val="en-US" w:eastAsia="zh-CN" w:bidi="ar-SA"/>
              </w:rPr>
            </w:pPr>
            <w:r>
              <w:rPr>
                <w:rFonts w:hint="eastAsia" w:ascii="仿宋_GB2312" w:hAnsi="仿宋_GB2312" w:eastAsia="仿宋_GB2312" w:cs="仿宋_GB2312"/>
                <w:sz w:val="32"/>
                <w:szCs w:val="32"/>
                <w:highlight w:val="none"/>
                <w:lang w:val="en-US" w:eastAsia="zh-CN"/>
              </w:rPr>
              <w:t>服务方案（35分）</w:t>
            </w:r>
          </w:p>
        </w:tc>
        <w:tc>
          <w:tcPr>
            <w:tcW w:w="1405" w:type="dxa"/>
            <w:shd w:val="clear" w:color="auto" w:fill="auto"/>
            <w:noWrap w:val="0"/>
            <w:tcMar>
              <w:top w:w="0" w:type="dxa"/>
              <w:left w:w="0" w:type="dxa"/>
              <w:bottom w:w="0" w:type="dxa"/>
              <w:right w:w="0" w:type="dxa"/>
            </w:tcMar>
            <w:vAlign w:val="center"/>
          </w:tcPr>
          <w:p w14:paraId="619C583D">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项目服务方案</w:t>
            </w:r>
          </w:p>
          <w:p w14:paraId="24D8D9C3">
            <w:pPr>
              <w:pageBreakBefore w:val="0"/>
              <w:kinsoku/>
              <w:wordWrap/>
              <w:overflowPunct/>
              <w:topLinePunct w:val="0"/>
              <w:bidi w:val="0"/>
              <w:adjustRightInd w:val="0"/>
              <w:snapToGrid w:val="0"/>
              <w:spacing w:line="52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（35分）</w:t>
            </w:r>
          </w:p>
        </w:tc>
        <w:tc>
          <w:tcPr>
            <w:tcW w:w="6786" w:type="dxa"/>
            <w:noWrap w:val="0"/>
            <w:tcMar>
              <w:top w:w="0" w:type="dxa"/>
              <w:left w:w="0" w:type="dxa"/>
              <w:bottom w:w="0" w:type="dxa"/>
              <w:right w:w="0" w:type="dxa"/>
            </w:tcMar>
            <w:vAlign w:val="center"/>
          </w:tcPr>
          <w:p w14:paraId="0177CFFB">
            <w:pPr>
              <w:pStyle w:val="2"/>
              <w:numPr>
                <w:ilvl w:val="0"/>
                <w:numId w:val="0"/>
              </w:numPr>
              <w:jc w:val="both"/>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1、评估工作方案（10分）：整体工作方案具体详细，重点突出，工作计划安排合理得当，能够保证项目按时保质、保量完成。优秀7-10分；良好1-6分；没有不得分。 2、质量控制（15分）：是否制定完善的质量控制政策和程序、执行标准，各级复核要点是否清晰明了。优秀10-15分；良好1-9分；没有不得分。 3、保密及服务承诺（10分）：保密措施全面完善；能够严格按计划完成相关工作，能够根据比选人的进度安排报告交付时间。遇到临时修改，能及时响应。机制灵活，团队力量雄厚，能主动推进项目；优秀7-10分；良好1-6分；没有不得分。</w:t>
            </w:r>
          </w:p>
        </w:tc>
      </w:tr>
    </w:tbl>
    <w:p w14:paraId="0043E22B">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推荐</w:t>
      </w:r>
      <w:r>
        <w:rPr>
          <w:rFonts w:hint="eastAsia" w:ascii="仿宋_GB2312" w:hAnsi="仿宋_GB2312" w:eastAsia="仿宋_GB2312" w:cs="仿宋_GB2312"/>
          <w:b/>
          <w:bCs/>
          <w:sz w:val="32"/>
          <w:szCs w:val="32"/>
          <w:highlight w:val="none"/>
          <w:lang w:val="en-US" w:eastAsia="zh-CN"/>
        </w:rPr>
        <w:t>中标</w:t>
      </w:r>
      <w:r>
        <w:rPr>
          <w:rFonts w:hint="eastAsia" w:ascii="仿宋_GB2312" w:hAnsi="仿宋_GB2312" w:eastAsia="仿宋_GB2312" w:cs="仿宋_GB2312"/>
          <w:b/>
          <w:bCs/>
          <w:sz w:val="32"/>
          <w:szCs w:val="32"/>
          <w:highlight w:val="none"/>
          <w:lang w:val="zh-CN" w:eastAsia="zh-CN"/>
        </w:rPr>
        <w:t>候选人</w:t>
      </w:r>
    </w:p>
    <w:p w14:paraId="13FCF9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比选采用综合评分法，按照得分由高到低确定候选人。</w:t>
      </w:r>
    </w:p>
    <w:p w14:paraId="298941BA">
      <w:pPr>
        <w:jc w:val="left"/>
        <w:rPr>
          <w:rFonts w:hint="eastAsia" w:ascii="黑体" w:hAnsi="黑体" w:eastAsia="黑体" w:cs="黑体"/>
          <w:sz w:val="32"/>
          <w:szCs w:val="32"/>
          <w:lang w:val="en-US" w:eastAsia="zh-CN"/>
        </w:rPr>
      </w:pPr>
    </w:p>
    <w:p w14:paraId="0DE594E0">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74A94D7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7F9BCD9A">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18FA2B44">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166DA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60DFC671">
      <w:pPr>
        <w:pStyle w:val="12"/>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2CE86869">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16D0B5B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7E66EC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142FCE37">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6F9D6337">
      <w:pPr>
        <w:pStyle w:val="2"/>
        <w:numPr>
          <w:ilvl w:val="0"/>
          <w:numId w:val="0"/>
        </w:numPr>
        <w:ind w:leftChars="0" w:firstLine="4800" w:firstLineChars="1500"/>
        <w:jc w:val="both"/>
        <w:rPr>
          <w:rFonts w:hint="default" w:ascii="仿宋_GB2312" w:hAnsi="仿宋_GB2312" w:eastAsia="仿宋_GB2312" w:cs="仿宋_GB2312"/>
          <w:b w:val="0"/>
          <w:bCs w:val="0"/>
          <w:color w:val="auto"/>
          <w:kern w:val="2"/>
          <w:sz w:val="32"/>
          <w:szCs w:val="32"/>
          <w:lang w:val="en-US" w:eastAsia="zh-CN" w:bidi="ar-SA"/>
        </w:rPr>
      </w:pPr>
    </w:p>
    <w:p w14:paraId="474491C4">
      <w:pPr>
        <w:pStyle w:val="2"/>
        <w:numPr>
          <w:ilvl w:val="0"/>
          <w:numId w:val="0"/>
        </w:numPr>
        <w:ind w:firstLine="4800" w:firstLineChars="1500"/>
        <w:jc w:val="both"/>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单位名称(盖章</w:t>
      </w:r>
      <w:r>
        <w:rPr>
          <w:rFonts w:hint="eastAsia" w:ascii="仿宋_GB2312" w:hAnsi="仿宋_GB2312" w:eastAsia="仿宋_GB2312" w:cs="仿宋_GB2312"/>
          <w:b w:val="0"/>
          <w:bCs w:val="0"/>
          <w:color w:val="auto"/>
          <w:kern w:val="2"/>
          <w:sz w:val="32"/>
          <w:szCs w:val="32"/>
          <w:lang w:val="en-US" w:eastAsia="zh-CN" w:bidi="ar-SA"/>
        </w:rPr>
        <w:t>）</w:t>
      </w:r>
    </w:p>
    <w:p w14:paraId="0B33B69A">
      <w:pPr>
        <w:ind w:firstLine="4800" w:firstLineChars="1500"/>
        <w:rPr>
          <w:rFonts w:hint="default"/>
          <w:lang w:val="en-US" w:eastAsia="zh-CN"/>
        </w:rPr>
      </w:pPr>
      <w:r>
        <w:rPr>
          <w:rFonts w:hint="eastAsia" w:ascii="仿宋_GB2312" w:hAnsi="仿宋_GB2312" w:eastAsia="仿宋_GB2312" w:cs="仿宋_GB2312"/>
          <w:b w:val="0"/>
          <w:bCs w:val="0"/>
          <w:color w:val="auto"/>
          <w:kern w:val="2"/>
          <w:sz w:val="32"/>
          <w:szCs w:val="32"/>
          <w:lang w:val="en-US" w:eastAsia="zh-CN" w:bidi="ar-SA"/>
        </w:rPr>
        <w:t>日期：</w:t>
      </w: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5B83A"/>
    <w:multiLevelType w:val="singleLevel"/>
    <w:tmpl w:val="14C5B83A"/>
    <w:lvl w:ilvl="0" w:tentative="0">
      <w:start w:val="3"/>
      <w:numFmt w:val="chineseCounting"/>
      <w:suff w:val="nothing"/>
      <w:lvlText w:val="（%1）"/>
      <w:lvlJc w:val="left"/>
      <w:rPr>
        <w:rFonts w:hint="eastAsia"/>
      </w:rPr>
    </w:lvl>
  </w:abstractNum>
  <w:abstractNum w:abstractNumId="1">
    <w:nsid w:val="4E9EA506"/>
    <w:multiLevelType w:val="multilevel"/>
    <w:tmpl w:val="4E9EA506"/>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0YjMwMDQxYWM4MDA2ZGY0ZmMzOTllNzNlMTBiZDAifQ=="/>
  </w:docVars>
  <w:rsids>
    <w:rsidRoot w:val="1289406A"/>
    <w:rsid w:val="017D31AE"/>
    <w:rsid w:val="0410287C"/>
    <w:rsid w:val="048D195A"/>
    <w:rsid w:val="06255641"/>
    <w:rsid w:val="0759622A"/>
    <w:rsid w:val="08150446"/>
    <w:rsid w:val="092B3F6C"/>
    <w:rsid w:val="0AA95014"/>
    <w:rsid w:val="0B072094"/>
    <w:rsid w:val="0BBA05E1"/>
    <w:rsid w:val="0C8F1FE8"/>
    <w:rsid w:val="0CCE0D62"/>
    <w:rsid w:val="0DAD0977"/>
    <w:rsid w:val="0DD34156"/>
    <w:rsid w:val="0F472E51"/>
    <w:rsid w:val="101A2510"/>
    <w:rsid w:val="112E7CD6"/>
    <w:rsid w:val="124F64A1"/>
    <w:rsid w:val="1289406A"/>
    <w:rsid w:val="1292638E"/>
    <w:rsid w:val="13E175CD"/>
    <w:rsid w:val="14667AD2"/>
    <w:rsid w:val="15330584"/>
    <w:rsid w:val="156B79B3"/>
    <w:rsid w:val="15A44D56"/>
    <w:rsid w:val="164953A2"/>
    <w:rsid w:val="1BDD6EE9"/>
    <w:rsid w:val="1CCD3C1B"/>
    <w:rsid w:val="1F301408"/>
    <w:rsid w:val="21577120"/>
    <w:rsid w:val="2248289F"/>
    <w:rsid w:val="22682FB8"/>
    <w:rsid w:val="2389558B"/>
    <w:rsid w:val="23F5160A"/>
    <w:rsid w:val="25306A07"/>
    <w:rsid w:val="253B5191"/>
    <w:rsid w:val="260E05A1"/>
    <w:rsid w:val="28A1559D"/>
    <w:rsid w:val="293444FF"/>
    <w:rsid w:val="29C70BBB"/>
    <w:rsid w:val="2A2651C8"/>
    <w:rsid w:val="2C01620C"/>
    <w:rsid w:val="2CDE24A4"/>
    <w:rsid w:val="2CFD2151"/>
    <w:rsid w:val="33296D03"/>
    <w:rsid w:val="33EB36F8"/>
    <w:rsid w:val="34B322BA"/>
    <w:rsid w:val="3843464F"/>
    <w:rsid w:val="38974E72"/>
    <w:rsid w:val="390C65EA"/>
    <w:rsid w:val="39495F88"/>
    <w:rsid w:val="3AE47B4E"/>
    <w:rsid w:val="3D046FA8"/>
    <w:rsid w:val="405D040F"/>
    <w:rsid w:val="42F56341"/>
    <w:rsid w:val="456C320E"/>
    <w:rsid w:val="47262F6D"/>
    <w:rsid w:val="4ABA40F8"/>
    <w:rsid w:val="4D0C5871"/>
    <w:rsid w:val="4D3342FA"/>
    <w:rsid w:val="508C2093"/>
    <w:rsid w:val="51510BE7"/>
    <w:rsid w:val="52441102"/>
    <w:rsid w:val="541A1764"/>
    <w:rsid w:val="576A0C54"/>
    <w:rsid w:val="5A557999"/>
    <w:rsid w:val="5ED658B5"/>
    <w:rsid w:val="612639AA"/>
    <w:rsid w:val="634C56B2"/>
    <w:rsid w:val="639B1317"/>
    <w:rsid w:val="647A1DAB"/>
    <w:rsid w:val="64B82739"/>
    <w:rsid w:val="65C07C91"/>
    <w:rsid w:val="679175CD"/>
    <w:rsid w:val="6A7A2B04"/>
    <w:rsid w:val="6B8A4FC9"/>
    <w:rsid w:val="6C2E449C"/>
    <w:rsid w:val="6CC12C6C"/>
    <w:rsid w:val="6F7A06C8"/>
    <w:rsid w:val="6FEC0000"/>
    <w:rsid w:val="700C1760"/>
    <w:rsid w:val="72323CC5"/>
    <w:rsid w:val="72E476B5"/>
    <w:rsid w:val="73852193"/>
    <w:rsid w:val="74393A30"/>
    <w:rsid w:val="74A842FB"/>
    <w:rsid w:val="74D912DD"/>
    <w:rsid w:val="751452AC"/>
    <w:rsid w:val="7528609B"/>
    <w:rsid w:val="75A50F0A"/>
    <w:rsid w:val="76127456"/>
    <w:rsid w:val="776B3F01"/>
    <w:rsid w:val="776E028D"/>
    <w:rsid w:val="7A106FE1"/>
    <w:rsid w:val="7C256F25"/>
    <w:rsid w:val="7C26562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autoRedefine/>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semiHidden/>
    <w:qFormat/>
    <w:uiPriority w:val="0"/>
    <w:rPr>
      <w:rFonts w:ascii="宋体" w:hAnsi="宋体" w:eastAsia="宋体" w:cs="宋体"/>
      <w:sz w:val="28"/>
      <w:szCs w:val="28"/>
      <w:lang w:val="en-US" w:eastAsia="en-US" w:bidi="ar-SA"/>
    </w:rPr>
  </w:style>
  <w:style w:type="paragraph" w:styleId="5">
    <w:name w:val="Plain Text"/>
    <w:basedOn w:val="1"/>
    <w:autoRedefine/>
    <w:qFormat/>
    <w:uiPriority w:val="0"/>
    <w:rPr>
      <w:sz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Body Text Indent 2_f03e68e1-e214-4ca0-9809-4610ee858d2f"/>
    <w:basedOn w:val="1"/>
    <w:autoRedefine/>
    <w:qFormat/>
    <w:uiPriority w:val="0"/>
    <w:pPr>
      <w:spacing w:after="120" w:line="480" w:lineRule="auto"/>
      <w:ind w:left="420" w:leftChars="200"/>
    </w:pPr>
    <w:rPr>
      <w:rFonts w:ascii="Calibri" w:hAnsi="Calibri" w:cs="Times New Roman"/>
      <w:sz w:val="24"/>
    </w:rPr>
  </w:style>
  <w:style w:type="paragraph" w:customStyle="1" w:styleId="12">
    <w:name w:val="Body Text First Indent"/>
    <w:basedOn w:val="4"/>
    <w:autoRedefine/>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1188</Words>
  <Characters>1244</Characters>
  <Lines>0</Lines>
  <Paragraphs>0</Paragraphs>
  <TotalTime>2</TotalTime>
  <ScaleCrop>false</ScaleCrop>
  <LinksUpToDate>false</LinksUpToDate>
  <CharactersWithSpaces>1274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2024-02-28T04:51:00Z</dcterms:created>
  <dc:creator>Leo</dc:creator>
  <cp:lastModifiedBy>萌萌噠</cp:lastModifiedBy>
  <cp:lastPrinted>2025-05-14T07:38:00Z</cp:lastPrinted>
  <dcterms:modified xsi:type="dcterms:W3CDTF">2025-05-27T00:56:35Z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842CD3C4A205433DABD49253BAA78384_13</vt:lpwstr>
  </property>
  <property fmtid="{D5CDD505-2E9C-101B-9397-08002B2CF9AE}" pid="4" name="KSOTemplateDocerSaveRecord">
    <vt:lpwstr>eyJoZGlkIjoiZWE0YjMwMDQxYWM4MDA2ZGY0ZmMzOTllNzNlMTBiZDAiLCJ1c2VySWQiOiI1MzUyMDM3NzgifQ==</vt:lpwstr>
  </property>
</Properties>
</file>