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关于许昌市胖东来生活服务圈城市公共空间功能提升连通工程申报政府专项债法律咨询服务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选方式选取一家律师事务所对</w:t>
      </w:r>
      <w:r>
        <w:rPr>
          <w:rFonts w:hint="eastAsia" w:ascii="仿宋_GB2312" w:hAnsi="仿宋_GB2312" w:eastAsia="仿宋_GB2312" w:cs="仿宋_GB2312"/>
          <w:color w:val="auto"/>
          <w:sz w:val="32"/>
          <w:szCs w:val="32"/>
          <w:lang w:val="en-US" w:eastAsia="zh-CN"/>
        </w:rPr>
        <w:t>许昌市胖东来生活服务圈城市公共空间功能提升连通工程申报政府专项债提供专项法律</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color w:val="auto"/>
          <w:sz w:val="32"/>
          <w:szCs w:val="32"/>
          <w:lang w:val="en-US" w:eastAsia="zh-CN"/>
        </w:rPr>
        <w:t>现诚邀符合资格条件的公司参加。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1.项目名称：许昌市胖东来生活服务圈城市公共空间功能提升连通工程申报政府专项债法律咨询服务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3.服务内容：</w:t>
      </w:r>
    </w:p>
    <w:p w14:paraId="74EAFF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0"/>
          <w:szCs w:val="30"/>
        </w:rPr>
        <w:t>在本次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申报过程中提供律师见证服务</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并出具《法律意见书》</w:t>
      </w:r>
      <w:r>
        <w:rPr>
          <w:rFonts w:hint="eastAsia" w:ascii="仿宋_GB2312" w:hAnsi="仿宋_GB2312" w:eastAsia="仿宋_GB2312" w:cs="仿宋_GB2312"/>
          <w:sz w:val="30"/>
          <w:szCs w:val="30"/>
          <w:lang w:eastAsia="zh-CN"/>
        </w:rPr>
        <w:t>；</w:t>
      </w:r>
    </w:p>
    <w:p w14:paraId="0CD2568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0"/>
          <w:szCs w:val="30"/>
          <w:highlight w:val="none"/>
        </w:rPr>
        <w:t>协助完成</w:t>
      </w:r>
      <w:r>
        <w:rPr>
          <w:rFonts w:hint="eastAsia" w:ascii="仿宋_GB2312" w:hAnsi="仿宋_GB2312" w:eastAsia="仿宋_GB2312" w:cs="仿宋_GB2312"/>
          <w:sz w:val="30"/>
          <w:szCs w:val="30"/>
          <w:highlight w:val="none"/>
          <w:lang w:eastAsia="zh-CN"/>
        </w:rPr>
        <w:t>专项债审核机构</w:t>
      </w:r>
      <w:r>
        <w:rPr>
          <w:rFonts w:hint="eastAsia" w:ascii="仿宋_GB2312" w:hAnsi="仿宋_GB2312" w:eastAsia="仿宋_GB2312" w:cs="仿宋_GB2312"/>
          <w:sz w:val="30"/>
          <w:szCs w:val="30"/>
          <w:highlight w:val="none"/>
        </w:rPr>
        <w:t>反馈材料准备工作</w:t>
      </w:r>
      <w:r>
        <w:rPr>
          <w:rFonts w:hint="eastAsia" w:ascii="仿宋_GB2312" w:hAnsi="仿宋_GB2312" w:eastAsia="仿宋_GB2312" w:cs="仿宋_GB2312"/>
          <w:sz w:val="30"/>
          <w:szCs w:val="30"/>
          <w:highlight w:val="none"/>
          <w:lang w:eastAsia="zh-CN"/>
        </w:rPr>
        <w:t>；</w:t>
      </w:r>
    </w:p>
    <w:p w14:paraId="0B9DDBE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0"/>
          <w:szCs w:val="30"/>
        </w:rPr>
        <w:t>在本次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申报发行过程中配合其他中介机构开展法律服务工作；</w:t>
      </w:r>
    </w:p>
    <w:p w14:paraId="30A5E6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0"/>
          <w:szCs w:val="30"/>
        </w:rPr>
        <w:t>对本次</w:t>
      </w:r>
      <w:r>
        <w:rPr>
          <w:rFonts w:hint="eastAsia" w:ascii="仿宋_GB2312" w:hAnsi="仿宋_GB2312" w:eastAsia="仿宋_GB2312" w:cs="仿宋_GB2312"/>
          <w:sz w:val="30"/>
          <w:szCs w:val="30"/>
          <w:lang w:eastAsia="zh-CN"/>
        </w:rPr>
        <w:t>专项债</w:t>
      </w:r>
      <w:r>
        <w:rPr>
          <w:rFonts w:hint="eastAsia" w:ascii="仿宋_GB2312" w:hAnsi="仿宋_GB2312" w:eastAsia="仿宋_GB2312" w:cs="仿宋_GB2312"/>
          <w:sz w:val="30"/>
          <w:szCs w:val="30"/>
        </w:rPr>
        <w:t>申报过程中涉及的各方面法律问题，进行法律分析、风险提示并提出解决方案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提供相关法律咨询服务等。</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6B65C6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的申请人应具备以下条件：</w:t>
      </w:r>
    </w:p>
    <w:p w14:paraId="376048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1、在中华人民共和国境内注册，具备独立法人资格，持有合法有效的企业法人营业执照；</w:t>
      </w:r>
    </w:p>
    <w:p w14:paraId="5C27D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、持有律师事务所执业许可证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在河南省内有分支机构或办公地</w:t>
      </w:r>
      <w:r>
        <w:rPr>
          <w:rFonts w:hint="eastAsia" w:ascii="仿宋_GB2312" w:hAnsi="仿宋_GB2312" w:eastAsia="仿宋_GB2312" w:cs="仿宋_GB2312"/>
          <w:sz w:val="32"/>
          <w:szCs w:val="32"/>
          <w:lang w:eastAsia="zh-CN"/>
        </w:rPr>
        <w:t>；</w:t>
      </w:r>
    </w:p>
    <w:p w14:paraId="68F1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、申请人近三年未因重大的执业质量等问题受到通报、处罚，没有处于破产、被责令停业或存在其他违法行为；</w:t>
      </w:r>
    </w:p>
    <w:p w14:paraId="5F373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申请人未被列入“失信被执行人名单”，提供相关主体在“信用中国”网站“失信被执行人”情况查询记录（查询日期在</w:t>
      </w:r>
      <w:r>
        <w:rPr>
          <w:rFonts w:hint="eastAsia" w:ascii="仿宋_GB2312" w:hAnsi="仿宋_GB2312" w:eastAsia="仿宋_GB2312" w:cs="仿宋_GB2312"/>
          <w:sz w:val="32"/>
          <w:szCs w:val="32"/>
          <w:lang w:val="en-US" w:eastAsia="zh-CN"/>
        </w:rPr>
        <w:t>比选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2025年5月20日18:0</w:t>
      </w:r>
      <w:bookmarkStart w:id="9" w:name="_GoBack"/>
      <w:bookmarkEnd w:id="9"/>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控制价为9.2万元。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796"/>
      <w:bookmarkEnd w:id="0"/>
      <w:bookmarkStart w:id="1" w:name="_Toc35393626"/>
      <w:bookmarkEnd w:id="1"/>
      <w:bookmarkStart w:id="2" w:name="_Toc28359085"/>
      <w:bookmarkEnd w:id="2"/>
      <w:bookmarkStart w:id="3" w:name="_Toc28359008"/>
      <w:bookmarkEnd w:id="3"/>
      <w:bookmarkStart w:id="4" w:name="_Toc35393627"/>
      <w:bookmarkEnd w:id="4"/>
      <w:bookmarkStart w:id="5" w:name="_Toc35393795"/>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lang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Times New Roman" w:hAnsi="Times New Roman" w:eastAsia="仿宋" w:cs="Times New Roman"/>
          <w:sz w:val="32"/>
          <w:szCs w:val="32"/>
          <w:lang w:eastAsia="zh-CN"/>
        </w:rPr>
        <w:t>（更新）《法律意见书》工作，不得因《法律意见书》原因</w:t>
      </w:r>
      <w:r>
        <w:rPr>
          <w:rFonts w:hint="eastAsia" w:eastAsia="仿宋" w:cs="Times New Roman"/>
          <w:sz w:val="32"/>
          <w:szCs w:val="32"/>
          <w:lang w:val="en-US" w:eastAsia="zh-CN"/>
        </w:rPr>
        <w:t>影响项目政府专项债</w:t>
      </w:r>
      <w:r>
        <w:rPr>
          <w:rFonts w:hint="default" w:ascii="Times New Roman" w:hAnsi="Times New Roman" w:eastAsia="仿宋" w:cs="Times New Roman"/>
          <w:sz w:val="32"/>
          <w:szCs w:val="32"/>
          <w:lang w:eastAsia="zh-CN"/>
        </w:rPr>
        <w:t>申报</w:t>
      </w:r>
      <w:r>
        <w:rPr>
          <w:rFonts w:hint="eastAsia" w:eastAsia="仿宋" w:cs="Times New Roman"/>
          <w:sz w:val="32"/>
          <w:szCs w:val="32"/>
          <w:lang w:val="en-US" w:eastAsia="zh-CN"/>
        </w:rPr>
        <w:t>工作</w:t>
      </w:r>
      <w:r>
        <w:rPr>
          <w:rFonts w:hint="default" w:ascii="Times New Roman" w:hAnsi="Times New Roman" w:eastAsia="仿宋" w:cs="Times New Roman"/>
          <w:sz w:val="32"/>
          <w:szCs w:val="32"/>
          <w:lang w:eastAsia="zh-CN"/>
        </w:rPr>
        <w:t>。</w:t>
      </w:r>
      <w:r>
        <w:rPr>
          <w:rFonts w:hint="eastAsia" w:ascii="仿宋_GB2312" w:hAnsi="仿宋_GB2312" w:eastAsia="仿宋_GB2312" w:cs="仿宋_GB2312"/>
          <w:color w:val="auto"/>
          <w:sz w:val="32"/>
          <w:szCs w:val="32"/>
          <w:highlight w:val="none"/>
          <w:lang w:val="en-US" w:eastAsia="zh-CN"/>
        </w:rPr>
        <w:t>服务</w:t>
      </w:r>
      <w:r>
        <w:rPr>
          <w:rFonts w:hint="eastAsia" w:ascii="仿宋_GB2312" w:hAnsi="仿宋_GB2312" w:eastAsia="仿宋_GB2312" w:cs="仿宋_GB2312"/>
          <w:color w:val="auto"/>
          <w:sz w:val="32"/>
          <w:szCs w:val="32"/>
          <w:lang w:val="en-US" w:eastAsia="zh-CN"/>
        </w:rPr>
        <w:t>期限自中标结果公示之日起，到项目完成政府专项债申报工作，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法律意见书》及提供其他有关于项目涉及到的法律服务，并完成全部申报金额发行。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9.2万元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许昌市胖东来生活服务圈城市公共空间功能提升连通工程申报政府专项债法律咨询服务项目</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许昌市胖东来生活服务圈城市公共空间功能提升连通工程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2.具备出具《审计报告》的成功经验；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9.2万元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5月20日18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1.收费超过9</w:t>
            </w:r>
            <w:r>
              <w:rPr>
                <w:rFonts w:hint="eastAsia" w:eastAsia="仿宋" w:cs="Times New Roman"/>
                <w:color w:val="000000"/>
                <w:kern w:val="0"/>
                <w:sz w:val="28"/>
                <w:szCs w:val="28"/>
                <w:highlight w:val="none"/>
                <w:lang w:val="en-US" w:eastAsia="zh-CN" w:bidi="ar"/>
              </w:rPr>
              <w:t>.2</w:t>
            </w:r>
            <w:r>
              <w:rPr>
                <w:rFonts w:hint="eastAsia"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4023138"/>
      <w:bookmarkStart w:id="8" w:name="_Toc186274126"/>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许昌市胖东来生活服务圈城市公共空间功能提升连通工程申报政府专项债法律咨询服务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26D42CDC-22AC-46B0-ACD6-C6547A97712E}"/>
  </w:font>
  <w:font w:name="仿宋">
    <w:panose1 w:val="02010609060101010101"/>
    <w:charset w:val="86"/>
    <w:family w:val="auto"/>
    <w:pitch w:val="default"/>
    <w:sig w:usb0="800002BF" w:usb1="38CF7CFA" w:usb2="00000016" w:usb3="00000000" w:csb0="00040001" w:csb1="00000000"/>
    <w:embedRegular r:id="rId2" w:fontKey="{4515A8BF-69E2-4C4E-81CC-A77514E17986}"/>
  </w:font>
  <w:font w:name="仿宋_GB2312">
    <w:panose1 w:val="02010609030101010101"/>
    <w:charset w:val="86"/>
    <w:family w:val="auto"/>
    <w:pitch w:val="default"/>
    <w:sig w:usb0="00000001" w:usb1="080E0000" w:usb2="00000000" w:usb3="00000000" w:csb0="00040000" w:csb1="00000000"/>
    <w:embedRegular r:id="rId3" w:fontKey="{210ED0E3-CD04-40C4-875C-51016003A5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C14B91"/>
    <w:rsid w:val="00E97C2E"/>
    <w:rsid w:val="00F00C3A"/>
    <w:rsid w:val="01D159CE"/>
    <w:rsid w:val="01E51E07"/>
    <w:rsid w:val="01F94D3E"/>
    <w:rsid w:val="02251150"/>
    <w:rsid w:val="02A80913"/>
    <w:rsid w:val="02BF77F6"/>
    <w:rsid w:val="02FC45A7"/>
    <w:rsid w:val="03710F50"/>
    <w:rsid w:val="03B505D2"/>
    <w:rsid w:val="04021749"/>
    <w:rsid w:val="04566B35"/>
    <w:rsid w:val="046A44ED"/>
    <w:rsid w:val="052F52F4"/>
    <w:rsid w:val="057869E1"/>
    <w:rsid w:val="059D30B6"/>
    <w:rsid w:val="060A0D89"/>
    <w:rsid w:val="06104A21"/>
    <w:rsid w:val="06204397"/>
    <w:rsid w:val="066A1827"/>
    <w:rsid w:val="06F15AA5"/>
    <w:rsid w:val="06F930B6"/>
    <w:rsid w:val="06FA06BD"/>
    <w:rsid w:val="0770438A"/>
    <w:rsid w:val="085A5FF7"/>
    <w:rsid w:val="08A55595"/>
    <w:rsid w:val="09413E70"/>
    <w:rsid w:val="0949606C"/>
    <w:rsid w:val="095664BF"/>
    <w:rsid w:val="09DE0417"/>
    <w:rsid w:val="0A454A85"/>
    <w:rsid w:val="0B5940BE"/>
    <w:rsid w:val="0C3A33FD"/>
    <w:rsid w:val="0D5D5C42"/>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B161797"/>
    <w:rsid w:val="1C7272F1"/>
    <w:rsid w:val="1DA42206"/>
    <w:rsid w:val="1EB84FB4"/>
    <w:rsid w:val="1ED90DA1"/>
    <w:rsid w:val="20E81880"/>
    <w:rsid w:val="21924E50"/>
    <w:rsid w:val="22130EA0"/>
    <w:rsid w:val="236D2C2B"/>
    <w:rsid w:val="23911ECE"/>
    <w:rsid w:val="23F8720B"/>
    <w:rsid w:val="24E56118"/>
    <w:rsid w:val="25203CCD"/>
    <w:rsid w:val="25846482"/>
    <w:rsid w:val="259020DD"/>
    <w:rsid w:val="25EB1F94"/>
    <w:rsid w:val="25FA2162"/>
    <w:rsid w:val="274C35FE"/>
    <w:rsid w:val="28163820"/>
    <w:rsid w:val="287C03AF"/>
    <w:rsid w:val="2A7331BD"/>
    <w:rsid w:val="2AA76515"/>
    <w:rsid w:val="2BCE666F"/>
    <w:rsid w:val="2BE179EB"/>
    <w:rsid w:val="2BF87ED1"/>
    <w:rsid w:val="2BFF463C"/>
    <w:rsid w:val="2C0D6146"/>
    <w:rsid w:val="2CC12172"/>
    <w:rsid w:val="2D2057F2"/>
    <w:rsid w:val="2D835246"/>
    <w:rsid w:val="2E4862BB"/>
    <w:rsid w:val="2EB22C52"/>
    <w:rsid w:val="2EDF2503"/>
    <w:rsid w:val="2F2A6E19"/>
    <w:rsid w:val="30B11B67"/>
    <w:rsid w:val="30E8411C"/>
    <w:rsid w:val="30F73708"/>
    <w:rsid w:val="310444A3"/>
    <w:rsid w:val="32382BF4"/>
    <w:rsid w:val="33C259F7"/>
    <w:rsid w:val="33EA3E24"/>
    <w:rsid w:val="342F7C9D"/>
    <w:rsid w:val="36936B79"/>
    <w:rsid w:val="36F44ACE"/>
    <w:rsid w:val="372F0D73"/>
    <w:rsid w:val="376173AB"/>
    <w:rsid w:val="37B035DE"/>
    <w:rsid w:val="37ED3CDC"/>
    <w:rsid w:val="38C21BC7"/>
    <w:rsid w:val="38C96EB8"/>
    <w:rsid w:val="39613064"/>
    <w:rsid w:val="3AC916FB"/>
    <w:rsid w:val="3AC9229B"/>
    <w:rsid w:val="3AED708D"/>
    <w:rsid w:val="3B175C66"/>
    <w:rsid w:val="3BE61A23"/>
    <w:rsid w:val="3C1A7270"/>
    <w:rsid w:val="3C506712"/>
    <w:rsid w:val="3CBB635D"/>
    <w:rsid w:val="3D0E0B83"/>
    <w:rsid w:val="3D804EB1"/>
    <w:rsid w:val="3DC33DF0"/>
    <w:rsid w:val="3DCD7A37"/>
    <w:rsid w:val="3E5F540E"/>
    <w:rsid w:val="3EA26366"/>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6BE746F"/>
    <w:rsid w:val="47DB18C9"/>
    <w:rsid w:val="47F839E2"/>
    <w:rsid w:val="484E2EA9"/>
    <w:rsid w:val="48A53C83"/>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994B9F"/>
    <w:rsid w:val="4F625BA7"/>
    <w:rsid w:val="4F7D3946"/>
    <w:rsid w:val="50447F7A"/>
    <w:rsid w:val="50713369"/>
    <w:rsid w:val="510A1419"/>
    <w:rsid w:val="51583D23"/>
    <w:rsid w:val="51AB02C4"/>
    <w:rsid w:val="51B3364F"/>
    <w:rsid w:val="52132340"/>
    <w:rsid w:val="52360357"/>
    <w:rsid w:val="52AD7609"/>
    <w:rsid w:val="52CD24EF"/>
    <w:rsid w:val="535B4E77"/>
    <w:rsid w:val="53762B86"/>
    <w:rsid w:val="55144E68"/>
    <w:rsid w:val="552C446C"/>
    <w:rsid w:val="5552317F"/>
    <w:rsid w:val="55820BFC"/>
    <w:rsid w:val="56312D95"/>
    <w:rsid w:val="56CE3AA9"/>
    <w:rsid w:val="56F7363C"/>
    <w:rsid w:val="56FC732B"/>
    <w:rsid w:val="570F4E24"/>
    <w:rsid w:val="57376C93"/>
    <w:rsid w:val="57BA4624"/>
    <w:rsid w:val="57BF3FA4"/>
    <w:rsid w:val="58555460"/>
    <w:rsid w:val="59BC7D8E"/>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8A3373"/>
    <w:rsid w:val="649E3CEB"/>
    <w:rsid w:val="65031DA0"/>
    <w:rsid w:val="65BB5819"/>
    <w:rsid w:val="66984259"/>
    <w:rsid w:val="677A27ED"/>
    <w:rsid w:val="6785255B"/>
    <w:rsid w:val="67B929BB"/>
    <w:rsid w:val="685C7FB7"/>
    <w:rsid w:val="686B482C"/>
    <w:rsid w:val="687D3C28"/>
    <w:rsid w:val="688C217B"/>
    <w:rsid w:val="68B91AEC"/>
    <w:rsid w:val="68ED6FEF"/>
    <w:rsid w:val="6AA21139"/>
    <w:rsid w:val="6CF07C20"/>
    <w:rsid w:val="6D0B0407"/>
    <w:rsid w:val="6DBF6C55"/>
    <w:rsid w:val="6DD357EF"/>
    <w:rsid w:val="6DD864C0"/>
    <w:rsid w:val="6DE50C94"/>
    <w:rsid w:val="6EB64A32"/>
    <w:rsid w:val="6F4A2780"/>
    <w:rsid w:val="70BB4F04"/>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C72E9F"/>
    <w:rsid w:val="770025E3"/>
    <w:rsid w:val="7705006E"/>
    <w:rsid w:val="77071BC4"/>
    <w:rsid w:val="776A4892"/>
    <w:rsid w:val="78441ADC"/>
    <w:rsid w:val="784A563E"/>
    <w:rsid w:val="788E0646"/>
    <w:rsid w:val="79351E88"/>
    <w:rsid w:val="79835BAD"/>
    <w:rsid w:val="79981D97"/>
    <w:rsid w:val="79ED50A1"/>
    <w:rsid w:val="7A120FA2"/>
    <w:rsid w:val="7AAF67FA"/>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4860</Words>
  <Characters>5034</Characters>
  <Lines>0</Lines>
  <Paragraphs>0</Paragraphs>
  <TotalTime>0</TotalTime>
  <ScaleCrop>false</ScaleCrop>
  <LinksUpToDate>false</LinksUpToDate>
  <CharactersWithSpaces>5340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涛涛</cp:lastModifiedBy>
  <cp:lastPrinted>2024-09-02T01:02:00Z</cp:lastPrinted>
  <dcterms:modified xsi:type="dcterms:W3CDTF">2025-05-12T01:22:24Z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80AC16A330494A9494A7D29F6E06191E_13</vt:lpwstr>
  </property>
  <property fmtid="{D5CDD505-2E9C-101B-9397-08002B2CF9AE}" pid="4" name="KSOTemplateDocerSaveRecord">
    <vt:lpwstr>eyJoZGlkIjoiNmM0ODdhYWU1ZGUxMTM3MDRhODliNjNhZDIwMDM5MmQiLCJ1c2VySWQiOiIxNDg3MzQ4MiJ9</vt:lpwstr>
  </property>
</Properties>
</file>