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选方式选取一家律师事务所对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申报政府专项债提供专项法律</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申报政府专项债法律咨询服务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申报过程中提供律师见证服务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并出具《法律意见书》</w:t>
      </w:r>
      <w:r>
        <w:rPr>
          <w:rFonts w:hint="eastAsia" w:ascii="仿宋_GB2312" w:hAnsi="仿宋_GB2312" w:eastAsia="仿宋_GB2312" w:cs="仿宋_GB2312"/>
          <w:sz w:val="30"/>
          <w:szCs w:val="30"/>
          <w:lang w:eastAsia="zh-CN"/>
        </w:rPr>
        <w:t>；</w:t>
      </w:r>
    </w:p>
    <w:p w14:paraId="0CD256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0"/>
          <w:szCs w:val="30"/>
          <w:highlight w:val="none"/>
        </w:rPr>
        <w:t>协助完成</w:t>
      </w:r>
      <w:r>
        <w:rPr>
          <w:rFonts w:hint="eastAsia" w:ascii="仿宋_GB2312" w:hAnsi="仿宋_GB2312" w:eastAsia="仿宋_GB2312" w:cs="仿宋_GB2312"/>
          <w:sz w:val="30"/>
          <w:szCs w:val="30"/>
          <w:highlight w:val="none"/>
          <w:lang w:eastAsia="zh-CN"/>
        </w:rPr>
        <w:t>专项债审核机构</w:t>
      </w:r>
      <w:r>
        <w:rPr>
          <w:rFonts w:hint="eastAsia" w:ascii="仿宋_GB2312" w:hAnsi="仿宋_GB2312" w:eastAsia="仿宋_GB2312" w:cs="仿宋_GB2312"/>
          <w:sz w:val="30"/>
          <w:szCs w:val="30"/>
          <w:highlight w:val="none"/>
        </w:rPr>
        <w:t>反馈材料准备工作</w:t>
      </w:r>
      <w:r>
        <w:rPr>
          <w:rFonts w:hint="eastAsia" w:ascii="仿宋_GB2312" w:hAnsi="仿宋_GB2312" w:eastAsia="仿宋_GB2312" w:cs="仿宋_GB2312"/>
          <w:sz w:val="30"/>
          <w:szCs w:val="30"/>
          <w:highlight w:val="none"/>
          <w:lang w:eastAsia="zh-CN"/>
        </w:rPr>
        <w:t>；</w:t>
      </w:r>
    </w:p>
    <w:p w14:paraId="0B9DDB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申报发行过程中配合其他中介机构开展法律服务工作；</w:t>
      </w:r>
    </w:p>
    <w:p w14:paraId="30A5E6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0"/>
          <w:szCs w:val="30"/>
        </w:rPr>
        <w:t>对本次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申报过程中涉及的各方面法律问题，进行法律分析、风险提示并提出解决方案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提供相关法律咨询服务等。</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2025年5月20日18:00</w:t>
      </w:r>
      <w:r>
        <w:rPr>
          <w:rFonts w:hint="eastAsia" w:ascii="仿宋_GB2312" w:hAnsi="仿宋_GB2312" w:eastAsia="仿宋_GB2312" w:cs="仿宋_GB2312"/>
          <w:color w:val="auto"/>
          <w:sz w:val="32"/>
          <w:szCs w:val="32"/>
          <w:highlight w:val="none"/>
          <w:lang w:eastAsia="zh-CN"/>
        </w:rPr>
        <w:t>前将投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控制价为9万元。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6"/>
      <w:bookmarkEnd w:id="0"/>
      <w:bookmarkStart w:id="1" w:name="_Toc28359008"/>
      <w:bookmarkEnd w:id="1"/>
      <w:bookmarkStart w:id="2" w:name="_Toc35393795"/>
      <w:bookmarkEnd w:id="2"/>
      <w:bookmarkStart w:id="3" w:name="_Toc28359085"/>
      <w:bookmarkEnd w:id="3"/>
      <w:bookmarkStart w:id="4" w:name="_Toc35393627"/>
      <w:bookmarkEnd w:id="4"/>
      <w:bookmarkStart w:id="5" w:name="_Toc35393796"/>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Times New Roman" w:hAnsi="Times New Roman" w:eastAsia="仿宋" w:cs="Times New Roman"/>
          <w:sz w:val="32"/>
          <w:szCs w:val="32"/>
          <w:lang w:eastAsia="zh-CN"/>
        </w:rPr>
        <w:t>（更新）《法律意见书》工作，不得因《法律意见书》原因</w:t>
      </w:r>
      <w:r>
        <w:rPr>
          <w:rFonts w:hint="eastAsia" w:eastAsia="仿宋" w:cs="Times New Roman"/>
          <w:sz w:val="32"/>
          <w:szCs w:val="32"/>
          <w:lang w:val="en-US" w:eastAsia="zh-CN"/>
        </w:rPr>
        <w:t>影响项目政府专项债</w:t>
      </w:r>
      <w:r>
        <w:rPr>
          <w:rFonts w:hint="default" w:ascii="Times New Roman" w:hAnsi="Times New Roman" w:eastAsia="仿宋" w:cs="Times New Roman"/>
          <w:sz w:val="32"/>
          <w:szCs w:val="32"/>
          <w:lang w:eastAsia="zh-CN"/>
        </w:rPr>
        <w:t>申报</w:t>
      </w:r>
      <w:r>
        <w:rPr>
          <w:rFonts w:hint="eastAsia" w:eastAsia="仿宋" w:cs="Times New Roman"/>
          <w:sz w:val="32"/>
          <w:szCs w:val="32"/>
          <w:lang w:val="en-US" w:eastAsia="zh-CN"/>
        </w:rPr>
        <w:t>工作</w:t>
      </w:r>
      <w:r>
        <w:rPr>
          <w:rFonts w:hint="default" w:ascii="Times New Roman" w:hAnsi="Times New Roman" w:eastAsia="仿宋" w:cs="Times New Roman"/>
          <w:sz w:val="32"/>
          <w:szCs w:val="32"/>
          <w:lang w:eastAsia="zh-CN"/>
        </w:rPr>
        <w:t>。</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lang w:val="en-US" w:eastAsia="zh-CN"/>
        </w:rPr>
        <w:t>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梦之城</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申报政府专项债法律咨询服务项目</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梦之城</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1.收费超过9万元为无效报价；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w:t>
            </w:r>
            <w:bookmarkStart w:id="9" w:name="_GoBack"/>
            <w:bookmarkEnd w:id="9"/>
            <w:r>
              <w:rPr>
                <w:rFonts w:hint="eastAsia" w:ascii="Times New Roman" w:hAnsi="Times New Roman" w:eastAsia="仿宋" w:cs="Times New Roman"/>
                <w:color w:val="000000"/>
                <w:kern w:val="0"/>
                <w:sz w:val="28"/>
                <w:szCs w:val="28"/>
                <w:highlight w:val="none"/>
                <w:lang w:val="en-US" w:eastAsia="zh-CN" w:bidi="ar"/>
              </w:rPr>
              <w:t>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D49C933E-03D7-490E-ACC8-80A7BA3F08C4}"/>
  </w:font>
  <w:font w:name="仿宋">
    <w:panose1 w:val="02010609060101010101"/>
    <w:charset w:val="86"/>
    <w:family w:val="auto"/>
    <w:pitch w:val="default"/>
    <w:sig w:usb0="800002BF" w:usb1="38CF7CFA" w:usb2="00000016" w:usb3="00000000" w:csb0="00040001" w:csb1="00000000"/>
    <w:embedRegular r:id="rId2" w:fontKey="{4F54409C-8B99-49BE-88D4-1F7675D2380F}"/>
  </w:font>
  <w:font w:name="仿宋_GB2312">
    <w:panose1 w:val="02010609030101010101"/>
    <w:charset w:val="86"/>
    <w:family w:val="auto"/>
    <w:pitch w:val="default"/>
    <w:sig w:usb0="00000001" w:usb1="080E0000" w:usb2="00000000" w:usb3="00000000" w:csb0="00040000" w:csb1="00000000"/>
    <w:embedRegular r:id="rId3" w:fontKey="{3A132F1D-6805-4C4A-9A20-831613B281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A80913"/>
    <w:rsid w:val="02BF77F6"/>
    <w:rsid w:val="02FC45A7"/>
    <w:rsid w:val="03710F50"/>
    <w:rsid w:val="03B505D2"/>
    <w:rsid w:val="04021749"/>
    <w:rsid w:val="04566B35"/>
    <w:rsid w:val="046A44ED"/>
    <w:rsid w:val="052F52F4"/>
    <w:rsid w:val="057869E1"/>
    <w:rsid w:val="059D30B6"/>
    <w:rsid w:val="060A0D89"/>
    <w:rsid w:val="06104A21"/>
    <w:rsid w:val="06204397"/>
    <w:rsid w:val="066A1827"/>
    <w:rsid w:val="06F15AA5"/>
    <w:rsid w:val="06F930B6"/>
    <w:rsid w:val="06FA06BD"/>
    <w:rsid w:val="0770438A"/>
    <w:rsid w:val="085A5FF7"/>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DA42206"/>
    <w:rsid w:val="1EB84FB4"/>
    <w:rsid w:val="1ED90DA1"/>
    <w:rsid w:val="20E81880"/>
    <w:rsid w:val="21924E50"/>
    <w:rsid w:val="22130EA0"/>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B11B67"/>
    <w:rsid w:val="30F73708"/>
    <w:rsid w:val="310444A3"/>
    <w:rsid w:val="32382BF4"/>
    <w:rsid w:val="33C259F7"/>
    <w:rsid w:val="33EA3E24"/>
    <w:rsid w:val="342F7C9D"/>
    <w:rsid w:val="36936B79"/>
    <w:rsid w:val="36F44ACE"/>
    <w:rsid w:val="372F0D73"/>
    <w:rsid w:val="376173AB"/>
    <w:rsid w:val="37B035DE"/>
    <w:rsid w:val="37ED3CDC"/>
    <w:rsid w:val="38C21BC7"/>
    <w:rsid w:val="38C96EB8"/>
    <w:rsid w:val="39613064"/>
    <w:rsid w:val="3AC916FB"/>
    <w:rsid w:val="3AC9229B"/>
    <w:rsid w:val="3AED708D"/>
    <w:rsid w:val="3B175C66"/>
    <w:rsid w:val="3BE61A23"/>
    <w:rsid w:val="3C1A7270"/>
    <w:rsid w:val="3C506712"/>
    <w:rsid w:val="3CBB635D"/>
    <w:rsid w:val="3D0E0B83"/>
    <w:rsid w:val="3D804EB1"/>
    <w:rsid w:val="3DC33DF0"/>
    <w:rsid w:val="3DCD7A37"/>
    <w:rsid w:val="3E5F540E"/>
    <w:rsid w:val="3EA26366"/>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6BE746F"/>
    <w:rsid w:val="47DB18C9"/>
    <w:rsid w:val="47F839E2"/>
    <w:rsid w:val="484E2EA9"/>
    <w:rsid w:val="48A53C83"/>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0713369"/>
    <w:rsid w:val="510A1419"/>
    <w:rsid w:val="51583D23"/>
    <w:rsid w:val="51AB02C4"/>
    <w:rsid w:val="51B3364F"/>
    <w:rsid w:val="52132340"/>
    <w:rsid w:val="52360357"/>
    <w:rsid w:val="52AD7609"/>
    <w:rsid w:val="52B30D4A"/>
    <w:rsid w:val="52CD24EF"/>
    <w:rsid w:val="535B4E77"/>
    <w:rsid w:val="53762B86"/>
    <w:rsid w:val="55144E68"/>
    <w:rsid w:val="552C446C"/>
    <w:rsid w:val="5552317F"/>
    <w:rsid w:val="55820BFC"/>
    <w:rsid w:val="56312D95"/>
    <w:rsid w:val="56CE3AA9"/>
    <w:rsid w:val="56F7363C"/>
    <w:rsid w:val="56FC732B"/>
    <w:rsid w:val="570F4E24"/>
    <w:rsid w:val="57376C93"/>
    <w:rsid w:val="57BA4624"/>
    <w:rsid w:val="57BF3FA4"/>
    <w:rsid w:val="58555460"/>
    <w:rsid w:val="59BC7D8E"/>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B91AEC"/>
    <w:rsid w:val="68ED6FEF"/>
    <w:rsid w:val="6AA21139"/>
    <w:rsid w:val="6CF07C20"/>
    <w:rsid w:val="6D0B0407"/>
    <w:rsid w:val="6DBF6C55"/>
    <w:rsid w:val="6DD357EF"/>
    <w:rsid w:val="6DD864C0"/>
    <w:rsid w:val="6DE50C94"/>
    <w:rsid w:val="6F4A2780"/>
    <w:rsid w:val="70BB4F04"/>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AF67FA"/>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4872</Words>
  <Characters>5038</Characters>
  <Lines>0</Lines>
  <Paragraphs>0</Paragraphs>
  <TotalTime>1</TotalTime>
  <ScaleCrop>false</ScaleCrop>
  <LinksUpToDate>false</LinksUpToDate>
  <CharactersWithSpaces>5344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2025-05-12T09:49:24Z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4FE1DBE14DA54E9AB7F633C1EDBDE0C0_13</vt:lpwstr>
  </property>
  <property fmtid="{D5CDD505-2E9C-101B-9397-08002B2CF9AE}" pid="4" name="KSOTemplateDocerSaveRecord">
    <vt:lpwstr>eyJoZGlkIjoiNmM0ODdhYWU1ZGUxMTM3MDRhODliNjNhZDIwMDM5MmQiLCJ1c2VySWQiOiIxNDg3MzQ4MiJ9</vt:lpwstr>
  </property>
</Properties>
</file>