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E94F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r>
        <w:rPr>
          <w:rFonts w:hint="default" w:ascii="Times New Roman" w:hAnsi="Times New Roman" w:eastAsia="仿宋" w:cs="Times New Roman"/>
          <w:b/>
          <w:bCs/>
          <w:caps/>
          <w:color w:val="auto"/>
          <w:sz w:val="28"/>
          <w:szCs w:val="28"/>
          <w:lang w:val="en-US" w:eastAsia="zh-CN"/>
        </w:rPr>
        <w:t xml:space="preserve">                                  </w:t>
      </w: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RZB-2025003</w:t>
      </w:r>
      <w:r>
        <w:rPr>
          <w:rFonts w:hint="default" w:ascii="Times New Roman" w:hAnsi="Times New Roman" w:eastAsia="仿宋" w:cs="Times New Roman"/>
          <w:b/>
          <w:bCs/>
          <w:caps/>
          <w:color w:val="auto"/>
          <w:sz w:val="28"/>
          <w:szCs w:val="28"/>
        </w:rPr>
        <w:t>号</w:t>
      </w:r>
    </w:p>
    <w:p w14:paraId="5E2861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7A897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11FFF763">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许昌市城投发展集团有限公司</w:t>
      </w:r>
    </w:p>
    <w:p w14:paraId="588AB6D0">
      <w:pPr>
        <w:pStyle w:val="2"/>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下属公司2025年度专项审计服务</w:t>
      </w:r>
    </w:p>
    <w:p w14:paraId="17E448AF">
      <w:pPr>
        <w:pStyle w:val="2"/>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会计师事务所</w:t>
      </w:r>
    </w:p>
    <w:p w14:paraId="3BA3158A">
      <w:pPr>
        <w:jc w:val="center"/>
        <w:rPr>
          <w:rFonts w:hint="default" w:ascii="Times New Roman" w:hAnsi="Times New Roman" w:eastAsia="仿宋" w:cs="Times New Roman"/>
          <w:b/>
          <w:color w:val="auto"/>
          <w:spacing w:val="60"/>
          <w:sz w:val="28"/>
          <w:szCs w:val="28"/>
          <w:shd w:val="clear" w:color="060000" w:fill="auto"/>
        </w:rPr>
      </w:pPr>
    </w:p>
    <w:p w14:paraId="4F1EFE5A">
      <w:pPr>
        <w:jc w:val="both"/>
        <w:rPr>
          <w:rFonts w:hint="default" w:ascii="Times New Roman" w:hAnsi="Times New Roman" w:eastAsia="仿宋" w:cs="Times New Roman"/>
          <w:color w:val="auto"/>
          <w:sz w:val="28"/>
          <w:szCs w:val="28"/>
          <w:shd w:val="clear" w:color="050000" w:fill="auto"/>
        </w:rPr>
      </w:pPr>
    </w:p>
    <w:p w14:paraId="55B99600">
      <w:pPr>
        <w:jc w:val="center"/>
        <w:rPr>
          <w:rFonts w:hint="default" w:ascii="Times New Roman" w:hAnsi="Times New Roman" w:eastAsia="仿宋" w:cs="Times New Roman"/>
          <w:color w:val="auto"/>
          <w:sz w:val="28"/>
          <w:szCs w:val="28"/>
          <w:shd w:val="clear" w:color="050000" w:fill="auto"/>
        </w:rPr>
      </w:pPr>
    </w:p>
    <w:p w14:paraId="00947BDA">
      <w:pPr>
        <w:rPr>
          <w:rFonts w:hint="default" w:ascii="Times New Roman" w:hAnsi="Times New Roman" w:eastAsia="仿宋" w:cs="Times New Roman"/>
          <w:color w:val="auto"/>
          <w:sz w:val="28"/>
          <w:szCs w:val="28"/>
          <w:shd w:val="clear" w:color="050000" w:fill="auto"/>
        </w:rPr>
      </w:pPr>
    </w:p>
    <w:p w14:paraId="26A07F8C">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C995BDD">
      <w:pPr>
        <w:rPr>
          <w:rFonts w:hint="default" w:ascii="Times New Roman" w:hAnsi="Times New Roman" w:eastAsia="仿宋" w:cs="Times New Roman"/>
          <w:color w:val="auto"/>
          <w:sz w:val="28"/>
          <w:szCs w:val="28"/>
          <w:shd w:val="clear" w:color="050000" w:fill="auto"/>
        </w:rPr>
      </w:pPr>
    </w:p>
    <w:p w14:paraId="353E4CDB">
      <w:pPr>
        <w:jc w:val="center"/>
        <w:rPr>
          <w:rFonts w:hint="default" w:ascii="Times New Roman" w:hAnsi="Times New Roman" w:eastAsia="仿宋" w:cs="Times New Roman"/>
          <w:color w:val="auto"/>
          <w:sz w:val="28"/>
          <w:szCs w:val="28"/>
          <w:shd w:val="clear" w:color="050000" w:fill="auto"/>
        </w:rPr>
      </w:pPr>
    </w:p>
    <w:p w14:paraId="2AA51016">
      <w:pPr>
        <w:pStyle w:val="38"/>
        <w:jc w:val="both"/>
        <w:rPr>
          <w:rFonts w:hint="default" w:ascii="Times New Roman" w:hAnsi="Times New Roman" w:eastAsia="仿宋" w:cs="Times New Roman"/>
          <w:color w:val="auto"/>
          <w:sz w:val="28"/>
          <w:szCs w:val="28"/>
          <w:shd w:val="clear" w:color="050000" w:fill="auto"/>
        </w:rPr>
      </w:pPr>
    </w:p>
    <w:p w14:paraId="54264CCA">
      <w:pPr>
        <w:jc w:val="center"/>
        <w:rPr>
          <w:rFonts w:hint="default" w:ascii="Times New Roman" w:hAnsi="Times New Roman" w:eastAsia="仿宋" w:cs="Times New Roman"/>
          <w:color w:val="auto"/>
          <w:sz w:val="28"/>
          <w:szCs w:val="28"/>
          <w:shd w:val="clear" w:color="050000" w:fill="auto"/>
        </w:rPr>
      </w:pPr>
    </w:p>
    <w:p w14:paraId="3D719BAD">
      <w:pPr>
        <w:jc w:val="center"/>
        <w:rPr>
          <w:rFonts w:hint="default" w:ascii="Times New Roman" w:hAnsi="Times New Roman" w:eastAsia="仿宋" w:cs="Times New Roman"/>
          <w:color w:val="auto"/>
          <w:sz w:val="28"/>
          <w:szCs w:val="28"/>
          <w:shd w:val="clear" w:color="050000" w:fill="auto"/>
        </w:rPr>
      </w:pPr>
    </w:p>
    <w:p w14:paraId="3D2391A8">
      <w:pPr>
        <w:spacing w:line="360" w:lineRule="auto"/>
        <w:jc w:val="center"/>
        <w:rPr>
          <w:rFonts w:hint="default" w:ascii="Times New Roman" w:hAnsi="Times New Roman" w:eastAsia="仿宋" w:cs="Times New Roman"/>
          <w:b/>
          <w:color w:val="auto"/>
          <w:sz w:val="36"/>
          <w:szCs w:val="36"/>
          <w:shd w:val="clear" w:color="060000" w:fill="auto"/>
        </w:rPr>
      </w:pPr>
    </w:p>
    <w:p w14:paraId="2A644E6B">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val="en-US" w:eastAsia="zh-CN"/>
        </w:rPr>
        <w:t>五</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val="en-US" w:eastAsia="zh-CN"/>
        </w:rPr>
        <w:t>四</w:t>
      </w:r>
      <w:r>
        <w:rPr>
          <w:rFonts w:hint="default" w:ascii="Times New Roman" w:hAnsi="Times New Roman" w:eastAsia="仿宋" w:cs="Times New Roman"/>
          <w:b/>
          <w:color w:val="auto"/>
          <w:sz w:val="36"/>
          <w:szCs w:val="36"/>
          <w:shd w:val="clear" w:color="060000" w:fill="auto"/>
        </w:rPr>
        <w:t>月</w:t>
      </w:r>
    </w:p>
    <w:p w14:paraId="7F58EE22">
      <w:pPr>
        <w:pStyle w:val="24"/>
        <w:ind w:firstLine="0" w:firstLineChars="0"/>
        <w:rPr>
          <w:rFonts w:hint="default" w:ascii="Times New Roman" w:hAnsi="Times New Roman" w:eastAsia="仿宋" w:cs="Times New Roman"/>
          <w:color w:val="auto"/>
          <w:sz w:val="24"/>
          <w:szCs w:val="24"/>
        </w:rPr>
      </w:pPr>
    </w:p>
    <w:p w14:paraId="1800EF7B">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BFED8DD">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1077DF1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358CCEE2">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5AB79EB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4D472C51">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3E7000">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8D43396">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5099DE69">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5D18E5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5CE609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人）拟通过</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eastAsia="zh-CN"/>
        </w:rPr>
        <w:t>会计师事务所</w:t>
      </w:r>
      <w:r>
        <w:rPr>
          <w:rFonts w:hint="default" w:ascii="Times New Roman" w:hAnsi="Times New Roman" w:eastAsia="仿宋_GB2312" w:cs="Times New Roman"/>
          <w:sz w:val="32"/>
          <w:szCs w:val="32"/>
          <w:lang w:val="en-US" w:eastAsia="zh-CN"/>
        </w:rPr>
        <w:t>为城投集团下属公司提供专项审计服务，</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rPr>
        <w:t>参加。</w:t>
      </w:r>
    </w:p>
    <w:p w14:paraId="32B5C1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w:t>
      </w:r>
      <w:r>
        <w:rPr>
          <w:rFonts w:hint="default" w:ascii="Times New Roman" w:hAnsi="Times New Roman" w:eastAsia="仿宋_GB2312" w:cs="Times New Roman"/>
          <w:b/>
          <w:bCs w:val="0"/>
          <w:sz w:val="32"/>
          <w:szCs w:val="32"/>
        </w:rPr>
        <w:t>概况</w:t>
      </w:r>
    </w:p>
    <w:p w14:paraId="20FE113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sz w:val="32"/>
          <w:szCs w:val="32"/>
          <w:highlight w:val="none"/>
          <w:lang w:val="en-US" w:eastAsia="zh-CN"/>
        </w:rPr>
        <w:t>许昌市城投发展集团有限公司下属公司2025年度专项审计服务会计师事务所比选项目</w:t>
      </w:r>
    </w:p>
    <w:p w14:paraId="4647B6A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sz w:val="32"/>
          <w:szCs w:val="32"/>
          <w:lang w:val="en-US" w:eastAsia="zh-CN"/>
        </w:rPr>
        <w:t>比选事项：</w:t>
      </w:r>
      <w:r>
        <w:rPr>
          <w:rFonts w:hint="default" w:ascii="Times New Roman" w:hAnsi="Times New Roman" w:eastAsia="仿宋_GB2312" w:cs="Times New Roman"/>
          <w:b w:val="0"/>
          <w:bCs/>
          <w:sz w:val="32"/>
          <w:szCs w:val="32"/>
          <w:lang w:val="en-US" w:eastAsia="zh-CN"/>
        </w:rPr>
        <w:t>会计师事务所审计服务</w:t>
      </w:r>
    </w:p>
    <w:p w14:paraId="5607D82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审计年度</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val="0"/>
          <w:bCs/>
          <w:color w:val="auto"/>
          <w:sz w:val="32"/>
          <w:szCs w:val="32"/>
          <w:lang w:val="en-US" w:eastAsia="zh-CN"/>
        </w:rPr>
        <w:t xml:space="preserve">不固定审计年度 </w:t>
      </w:r>
    </w:p>
    <w:p w14:paraId="5B1686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eastAsia="zh-CN"/>
        </w:rPr>
        <w:t>被审计单位</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highlight w:val="none"/>
          <w:lang w:val="en-US" w:eastAsia="zh-CN"/>
        </w:rPr>
        <w:t>许昌建投郑许一体建设开发有限公司、许昌建投环保工程有限公司、许昌建投正能热力有限公司、许昌建投中能热力有限公司、许昌广莅公路实业发展有限公司、许昌城投农益建设开发有限公司</w:t>
      </w:r>
    </w:p>
    <w:p w14:paraId="6F9B92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rPr>
        <w:t>专项</w:t>
      </w:r>
      <w:r>
        <w:rPr>
          <w:rFonts w:hint="default" w:ascii="Times New Roman" w:hAnsi="Times New Roman" w:eastAsia="仿宋_GB2312" w:cs="Times New Roman"/>
          <w:b/>
          <w:bCs/>
          <w:sz w:val="32"/>
          <w:szCs w:val="32"/>
          <w:lang w:eastAsia="zh-CN"/>
        </w:rPr>
        <w:t>审计</w:t>
      </w:r>
      <w:r>
        <w:rPr>
          <w:rFonts w:hint="default" w:ascii="Times New Roman" w:hAnsi="Times New Roman" w:eastAsia="仿宋_GB2312" w:cs="Times New Roman"/>
          <w:b/>
          <w:bCs/>
          <w:sz w:val="32"/>
          <w:szCs w:val="32"/>
        </w:rPr>
        <w:t>服务</w:t>
      </w:r>
      <w:r>
        <w:rPr>
          <w:rFonts w:hint="default" w:ascii="Times New Roman" w:hAnsi="Times New Roman" w:eastAsia="仿宋_GB2312" w:cs="Times New Roman"/>
          <w:b/>
          <w:bCs/>
          <w:sz w:val="32"/>
          <w:szCs w:val="32"/>
          <w:lang w:eastAsia="zh-CN"/>
        </w:rPr>
        <w:t>需求</w:t>
      </w:r>
    </w:p>
    <w:p w14:paraId="48A8FF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根据融资需要，每年提供金融机构认可的财务报表及具有连贯性的连续年度审计报告；</w:t>
      </w:r>
    </w:p>
    <w:p w14:paraId="5BF42B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对融资所需的财务报表提供科目明细及附注；</w:t>
      </w:r>
    </w:p>
    <w:p w14:paraId="2CD152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融资</w:t>
      </w:r>
      <w:r>
        <w:rPr>
          <w:rFonts w:hint="default" w:ascii="Times New Roman" w:hAnsi="Times New Roman" w:eastAsia="仿宋_GB2312" w:cs="Times New Roman"/>
          <w:sz w:val="32"/>
          <w:szCs w:val="32"/>
          <w:highlight w:val="none"/>
        </w:rPr>
        <w:t>过程中根据需要提供</w:t>
      </w:r>
      <w:r>
        <w:rPr>
          <w:rFonts w:hint="default" w:ascii="Times New Roman" w:hAnsi="Times New Roman" w:eastAsia="仿宋_GB2312" w:cs="Times New Roman"/>
          <w:sz w:val="32"/>
          <w:szCs w:val="32"/>
          <w:highlight w:val="none"/>
          <w:lang w:eastAsia="zh-CN"/>
        </w:rPr>
        <w:t>会计事项咨询</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w:t>
      </w:r>
    </w:p>
    <w:p w14:paraId="59D396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306CC2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参与此次</w:t>
      </w:r>
      <w:r>
        <w:rPr>
          <w:rFonts w:hint="default" w:ascii="Times New Roman" w:hAnsi="Times New Roman" w:eastAsia="仿宋_GB2312" w:cs="Times New Roman"/>
          <w:b/>
          <w:bCs/>
          <w:sz w:val="32"/>
          <w:szCs w:val="32"/>
          <w:highlight w:val="none"/>
          <w:lang w:eastAsia="zh-CN"/>
        </w:rPr>
        <w:t>比选</w:t>
      </w:r>
      <w:r>
        <w:rPr>
          <w:rFonts w:hint="default" w:ascii="Times New Roman" w:hAnsi="Times New Roman" w:eastAsia="仿宋_GB2312" w:cs="Times New Roman"/>
          <w:b/>
          <w:bCs/>
          <w:sz w:val="32"/>
          <w:szCs w:val="32"/>
          <w:highlight w:val="none"/>
        </w:rPr>
        <w:t>应具备以下条件：</w:t>
      </w:r>
    </w:p>
    <w:p w14:paraId="6365B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在中华人民共和国境内注册，持有合法有效的企业营业执照</w:t>
      </w:r>
      <w:r>
        <w:rPr>
          <w:rFonts w:hint="default" w:ascii="Times New Roman" w:hAnsi="Times New Roman" w:eastAsia="仿宋_GB2312" w:cs="Times New Roman"/>
          <w:sz w:val="32"/>
          <w:szCs w:val="32"/>
          <w:highlight w:val="none"/>
          <w:lang w:eastAsia="zh-CN"/>
        </w:rPr>
        <w:t>、会计事务所执业证书等证件</w:t>
      </w:r>
      <w:r>
        <w:rPr>
          <w:rFonts w:hint="default" w:ascii="Times New Roman" w:hAnsi="Times New Roman" w:eastAsia="仿宋_GB2312" w:cs="Times New Roman"/>
          <w:sz w:val="32"/>
          <w:szCs w:val="32"/>
          <w:highlight w:val="none"/>
        </w:rPr>
        <w:t>；</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lang w:val="en-US" w:eastAsia="zh-CN"/>
        </w:rPr>
        <w:t>比选申请人近三年未因重大的执业质量等问题受到通报、处罚，没有处于破产、被责令停业或存在其他违法行为；</w:t>
      </w:r>
    </w:p>
    <w:p w14:paraId="7770DD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_GB2312" w:cs="Times New Roman"/>
          <w:sz w:val="32"/>
          <w:szCs w:val="32"/>
          <w:highlight w:val="none"/>
        </w:rPr>
        <w:t>。</w:t>
      </w:r>
    </w:p>
    <w:p w14:paraId="5BFB65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53A23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3C92B4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02C1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 xml:space="preserve"> 许昌市财政综合大楼9楼</w:t>
      </w:r>
      <w:r>
        <w:rPr>
          <w:rFonts w:hint="default" w:ascii="Times New Roman" w:hAnsi="Times New Roman" w:eastAsia="仿宋_GB2312" w:cs="Times New Roman"/>
          <w:sz w:val="32"/>
          <w:szCs w:val="32"/>
        </w:rPr>
        <w:t>。</w:t>
      </w:r>
    </w:p>
    <w:p w14:paraId="24EEE0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21D848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3535C1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F0551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0D919E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52C3B2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b w:val="0"/>
          <w:bCs w:val="0"/>
          <w:color w:val="auto"/>
          <w:sz w:val="32"/>
          <w:szCs w:val="32"/>
          <w:lang w:eastAsia="zh-CN"/>
        </w:rPr>
        <w:t>比选</w:t>
      </w:r>
      <w:r>
        <w:rPr>
          <w:rFonts w:hint="default" w:ascii="Times New Roman" w:hAnsi="Times New Roman" w:eastAsia="仿宋_GB2312" w:cs="Times New Roman"/>
          <w:b w:val="0"/>
          <w:bCs w:val="0"/>
          <w:color w:val="auto"/>
          <w:sz w:val="32"/>
          <w:szCs w:val="32"/>
        </w:rPr>
        <w:t>人有权</w:t>
      </w:r>
      <w:r>
        <w:rPr>
          <w:rFonts w:hint="default" w:ascii="Times New Roman" w:hAnsi="Times New Roman" w:eastAsia="仿宋_GB2312" w:cs="Times New Roman"/>
          <w:b w:val="0"/>
          <w:bCs w:val="0"/>
          <w:color w:val="auto"/>
          <w:sz w:val="32"/>
          <w:szCs w:val="32"/>
          <w:lang w:val="en-US" w:eastAsia="zh-CN"/>
        </w:rPr>
        <w:t>终止服务合同，</w:t>
      </w:r>
      <w:r>
        <w:rPr>
          <w:rFonts w:hint="default" w:ascii="Times New Roman" w:hAnsi="Times New Roman" w:eastAsia="仿宋_GB2312" w:cs="Times New Roman"/>
          <w:sz w:val="32"/>
          <w:szCs w:val="32"/>
        </w:rPr>
        <w:t>选用其他</w:t>
      </w:r>
      <w:r>
        <w:rPr>
          <w:rFonts w:hint="default" w:ascii="Times New Roman" w:hAnsi="Times New Roman" w:eastAsia="仿宋_GB2312" w:cs="Times New Roman"/>
          <w:sz w:val="32"/>
          <w:szCs w:val="32"/>
          <w:lang w:eastAsia="zh-CN"/>
        </w:rPr>
        <w:t>会计师</w:t>
      </w:r>
      <w:r>
        <w:rPr>
          <w:rFonts w:hint="default" w:ascii="Times New Roman" w:hAnsi="Times New Roman" w:eastAsia="仿宋_GB2312" w:cs="Times New Roman"/>
          <w:sz w:val="32"/>
          <w:szCs w:val="32"/>
        </w:rPr>
        <w:t>事务所。</w:t>
      </w:r>
    </w:p>
    <w:p w14:paraId="53D42E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248FD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根据第三方机构出具的控制价报告，本次比选人</w:t>
      </w:r>
      <w:r>
        <w:rPr>
          <w:rFonts w:hint="default" w:ascii="Times New Roman" w:hAnsi="Times New Roman" w:eastAsia="仿宋_GB2312" w:cs="Times New Roman"/>
          <w:sz w:val="32"/>
          <w:szCs w:val="32"/>
          <w:highlight w:val="none"/>
          <w:lang w:val="en-US" w:eastAsia="zh-CN"/>
        </w:rPr>
        <w:t>审计</w:t>
      </w:r>
      <w:r>
        <w:rPr>
          <w:rFonts w:hint="default" w:ascii="Times New Roman" w:hAnsi="Times New Roman" w:eastAsia="仿宋_GB2312" w:cs="Times New Roman"/>
          <w:sz w:val="32"/>
          <w:szCs w:val="32"/>
          <w:highlight w:val="none"/>
          <w:lang w:eastAsia="zh-CN"/>
        </w:rPr>
        <w:t>服务比选控制价为不高于</w:t>
      </w:r>
      <w:r>
        <w:rPr>
          <w:rFonts w:hint="default" w:ascii="Times New Roman" w:hAnsi="Times New Roman" w:eastAsia="仿宋_GB2312" w:cs="Times New Roman"/>
          <w:sz w:val="32"/>
          <w:szCs w:val="32"/>
          <w:highlight w:val="none"/>
          <w:lang w:val="en-US" w:eastAsia="zh-CN"/>
        </w:rPr>
        <w:t>28万元。</w:t>
      </w:r>
    </w:p>
    <w:p w14:paraId="689766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t>
      </w:r>
      <w:r>
        <w:rPr>
          <w:rFonts w:hint="default" w:ascii="Times New Roman" w:hAnsi="Times New Roman" w:eastAsia="仿宋_GB2312" w:cs="Times New Roman"/>
          <w:color w:val="auto"/>
          <w:sz w:val="32"/>
          <w:szCs w:val="32"/>
          <w:highlight w:val="none"/>
          <w:lang w:eastAsia="zh-CN"/>
        </w:rPr>
        <w:t>http://www.xcsct.cn/</w:t>
      </w:r>
      <w:r>
        <w:rPr>
          <w:rFonts w:hint="default" w:ascii="Times New Roman" w:hAnsi="Times New Roman" w:eastAsia="仿宋_GB2312" w:cs="Times New Roman"/>
          <w:sz w:val="32"/>
          <w:szCs w:val="32"/>
          <w:lang w:eastAsia="zh-CN"/>
        </w:rPr>
        <w:t>）发布。</w:t>
      </w:r>
    </w:p>
    <w:p w14:paraId="01EEAC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0" w:name="_Toc35393795"/>
      <w:bookmarkEnd w:id="0"/>
      <w:bookmarkStart w:id="1" w:name="_Toc35393796"/>
      <w:bookmarkEnd w:id="1"/>
      <w:bookmarkStart w:id="2" w:name="_Toc35393627"/>
      <w:bookmarkEnd w:id="2"/>
      <w:bookmarkStart w:id="3" w:name="_Toc35393626"/>
      <w:bookmarkEnd w:id="3"/>
      <w:bookmarkStart w:id="4" w:name="_Toc28359085"/>
      <w:bookmarkEnd w:id="4"/>
      <w:bookmarkStart w:id="5" w:name="_Toc28359008"/>
      <w:bookmarkEnd w:id="5"/>
      <w:r>
        <w:rPr>
          <w:rFonts w:hint="default" w:ascii="Times New Roman" w:hAnsi="Times New Roman" w:eastAsia="仿宋_GB2312" w:cs="Times New Roman"/>
          <w:b/>
          <w:bCs w:val="0"/>
          <w:sz w:val="32"/>
          <w:szCs w:val="32"/>
          <w:lang w:val="en-US" w:eastAsia="zh-CN"/>
        </w:rPr>
        <w:t>十、联系方式</w:t>
      </w:r>
    </w:p>
    <w:p w14:paraId="764E1F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w:t>
      </w:r>
      <w:r>
        <w:rPr>
          <w:rFonts w:hint="default" w:ascii="Times New Roman" w:hAnsi="Times New Roman" w:eastAsia="仿宋_GB2312" w:cs="Times New Roman"/>
          <w:b w:val="0"/>
          <w:bCs/>
          <w:sz w:val="32"/>
          <w:szCs w:val="32"/>
          <w:lang w:val="en-US" w:eastAsia="zh-CN"/>
        </w:rPr>
        <w:t>许昌市城投发展集团有限公司</w:t>
      </w:r>
    </w:p>
    <w:p w14:paraId="36E5CA8C">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default" w:ascii="Times New Roman" w:hAnsi="Times New Roman" w:eastAsia="仿宋_GB2312" w:cs="Times New Roman"/>
          <w:b w:val="0"/>
          <w:bCs/>
          <w:spacing w:val="20"/>
          <w:sz w:val="32"/>
          <w:szCs w:val="32"/>
          <w:lang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pacing w:val="20"/>
          <w:sz w:val="32"/>
          <w:szCs w:val="32"/>
          <w:lang w:val="en-US" w:eastAsia="zh-CN"/>
        </w:rPr>
        <w:t>许昌市财政综合大楼9楼</w:t>
      </w:r>
      <w:r>
        <w:rPr>
          <w:rFonts w:hint="default" w:ascii="Times New Roman" w:hAnsi="Times New Roman" w:eastAsia="仿宋_GB2312" w:cs="Times New Roman"/>
          <w:b w:val="0"/>
          <w:bCs/>
          <w:sz w:val="32"/>
          <w:szCs w:val="32"/>
          <w:lang w:val="en-US" w:eastAsia="zh-CN"/>
        </w:rPr>
        <w:t xml:space="preserve">  </w:t>
      </w:r>
    </w:p>
    <w:p w14:paraId="5F6C3187">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pacing w:val="20"/>
          <w:sz w:val="32"/>
          <w:szCs w:val="32"/>
          <w:lang w:val="en-US" w:eastAsia="zh-CN"/>
        </w:rPr>
        <w:t>陈女士</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GB" w:eastAsia="zh-CN"/>
        </w:rPr>
        <w:t xml:space="preserve">        </w:t>
      </w:r>
    </w:p>
    <w:p w14:paraId="6E02D45D">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7D9C5E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监督</w:t>
      </w:r>
      <w:r>
        <w:rPr>
          <w:rFonts w:hint="default" w:ascii="Times New Roman" w:hAnsi="Times New Roman" w:eastAsia="仿宋_GB2312" w:cs="Times New Roman"/>
          <w:b w:val="0"/>
          <w:bCs/>
          <w:sz w:val="32"/>
          <w:szCs w:val="32"/>
          <w:lang w:val="en-GB" w:eastAsia="zh-CN"/>
        </w:rPr>
        <w:t>电话：</w:t>
      </w:r>
      <w:r>
        <w:rPr>
          <w:rFonts w:hint="default" w:ascii="Times New Roman" w:hAnsi="Times New Roman" w:eastAsia="仿宋_GB2312" w:cs="Times New Roman"/>
          <w:b w:val="0"/>
          <w:bCs/>
          <w:sz w:val="32"/>
          <w:szCs w:val="32"/>
          <w:lang w:val="en-US" w:eastAsia="zh-CN"/>
        </w:rPr>
        <w:t>0374-2699156</w:t>
      </w:r>
    </w:p>
    <w:p w14:paraId="5AFE26AA">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39B0E7FE">
      <w:pPr>
        <w:pStyle w:val="24"/>
        <w:rPr>
          <w:rFonts w:hint="default" w:ascii="Times New Roman" w:hAnsi="Times New Roman" w:eastAsia="仿宋" w:cs="Times New Roman"/>
          <w:b/>
          <w:bCs/>
          <w:color w:val="auto"/>
          <w:sz w:val="24"/>
          <w:szCs w:val="24"/>
        </w:rPr>
      </w:pPr>
    </w:p>
    <w:p w14:paraId="317EDA3E">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56F8C34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5FEC27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TW"/>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、本项目需实现的功能或者目标</w:t>
      </w:r>
    </w:p>
    <w:p w14:paraId="6CD540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出具比选人下属公司融资过程中所需的财务报告，协助比选人下属公司完</w:t>
      </w:r>
      <w:r>
        <w:rPr>
          <w:rFonts w:hint="default" w:ascii="Times New Roman" w:hAnsi="Times New Roman" w:eastAsia="仿宋_GB2312" w:cs="Times New Roman"/>
          <w:sz w:val="32"/>
          <w:szCs w:val="32"/>
          <w:lang w:val="en-US" w:eastAsia="zh-CN"/>
        </w:rPr>
        <w:t>成融资授信工作，提供有关财务指标的解释说明。</w:t>
      </w:r>
    </w:p>
    <w:p w14:paraId="378755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u w:val="none"/>
          <w:lang w:val="zh-CN"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w:t>
      </w:r>
      <w:r>
        <w:rPr>
          <w:rFonts w:hint="default" w:ascii="Times New Roman" w:hAnsi="Times New Roman" w:eastAsia="仿宋_GB2312" w:cs="Times New Roman"/>
          <w:b/>
          <w:bCs/>
          <w:sz w:val="32"/>
          <w:szCs w:val="32"/>
          <w:u w:val="none"/>
          <w:lang w:eastAsia="zh-CN"/>
        </w:rPr>
        <w:t>限于）</w:t>
      </w:r>
    </w:p>
    <w:p w14:paraId="31E1A3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根据融资需要，每年提供金融机构认可的财务报表及具有连贯性的连续年度审计报告；</w:t>
      </w:r>
    </w:p>
    <w:p w14:paraId="0C4D2E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对融资所需的财务报表提供科目明细及附注；</w:t>
      </w:r>
    </w:p>
    <w:p w14:paraId="4503AB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融资</w:t>
      </w:r>
      <w:r>
        <w:rPr>
          <w:rFonts w:hint="default" w:ascii="Times New Roman" w:hAnsi="Times New Roman" w:eastAsia="仿宋_GB2312" w:cs="Times New Roman"/>
          <w:sz w:val="32"/>
          <w:szCs w:val="32"/>
          <w:highlight w:val="none"/>
        </w:rPr>
        <w:t>过程中根据需要提供</w:t>
      </w:r>
      <w:r>
        <w:rPr>
          <w:rFonts w:hint="default" w:ascii="Times New Roman" w:hAnsi="Times New Roman" w:eastAsia="仿宋_GB2312" w:cs="Times New Roman"/>
          <w:sz w:val="32"/>
          <w:szCs w:val="32"/>
          <w:highlight w:val="none"/>
          <w:lang w:eastAsia="zh-CN"/>
        </w:rPr>
        <w:t>会计事项咨询</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w:t>
      </w:r>
    </w:p>
    <w:p w14:paraId="7724FD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u w:val="none"/>
          <w:lang w:eastAsia="zh-TW"/>
        </w:rPr>
      </w:pPr>
      <w:r>
        <w:rPr>
          <w:rFonts w:hint="default" w:ascii="Times New Roman" w:hAnsi="Times New Roman" w:eastAsia="仿宋_GB2312" w:cs="Times New Roman"/>
          <w:b/>
          <w:bCs/>
          <w:sz w:val="32"/>
          <w:szCs w:val="32"/>
          <w:u w:val="none"/>
          <w:lang w:val="en-US" w:eastAsia="zh-CN"/>
        </w:rPr>
        <w:t>三、</w:t>
      </w:r>
      <w:r>
        <w:rPr>
          <w:rFonts w:hint="default" w:ascii="Times New Roman" w:hAnsi="Times New Roman" w:eastAsia="仿宋_GB2312" w:cs="Times New Roman"/>
          <w:b/>
          <w:bCs/>
          <w:sz w:val="32"/>
          <w:szCs w:val="32"/>
          <w:u w:val="none"/>
          <w:lang w:eastAsia="zh-TW"/>
        </w:rPr>
        <w:t>服务标准、期限、效率等要求</w:t>
      </w:r>
    </w:p>
    <w:p w14:paraId="091970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根据融资授信要求在比选人规定时间内完成财务报告出具工作及相关财务指标解释工作，不得延长服务时间。</w:t>
      </w:r>
    </w:p>
    <w:p w14:paraId="03397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740D9E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01F691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TW"/>
        </w:rPr>
        <w:t>釆购标的的其他技术、服务等要求</w:t>
      </w:r>
    </w:p>
    <w:p w14:paraId="3687DF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应就</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TW"/>
        </w:rPr>
        <w:t>项目（每包或者标段）完整投标。</w:t>
      </w:r>
    </w:p>
    <w:p w14:paraId="57404C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TW"/>
        </w:rPr>
        <w:t>本项目为交钥匙工程，包含</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val="en-US" w:eastAsia="zh-CN"/>
        </w:rPr>
        <w:t>专项审计服务</w:t>
      </w:r>
      <w:r>
        <w:rPr>
          <w:rFonts w:hint="default" w:ascii="Times New Roman" w:hAnsi="Times New Roman" w:eastAsia="仿宋_GB2312" w:cs="Times New Roman"/>
          <w:sz w:val="32"/>
          <w:szCs w:val="32"/>
          <w:lang w:eastAsia="zh-TW"/>
        </w:rPr>
        <w:t>一切费用。</w:t>
      </w:r>
    </w:p>
    <w:p w14:paraId="5E6DE5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验收标准</w:t>
      </w:r>
    </w:p>
    <w:p w14:paraId="23E6D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为比选人出具的</w:t>
      </w:r>
      <w:r>
        <w:rPr>
          <w:rFonts w:hint="default" w:ascii="Times New Roman" w:hAnsi="Times New Roman" w:eastAsia="仿宋_GB2312" w:cs="Times New Roman"/>
          <w:sz w:val="32"/>
          <w:szCs w:val="32"/>
          <w:u w:val="none"/>
          <w:lang w:val="en-US" w:eastAsia="zh-CN"/>
        </w:rPr>
        <w:t>财务报告、报表等经金融机构认可</w:t>
      </w:r>
      <w:r>
        <w:rPr>
          <w:rFonts w:hint="default" w:ascii="Times New Roman" w:hAnsi="Times New Roman" w:eastAsia="仿宋_GB2312" w:cs="Times New Roman"/>
          <w:sz w:val="32"/>
          <w:szCs w:val="32"/>
          <w:u w:val="none"/>
          <w:lang w:eastAsia="zh-CN"/>
        </w:rPr>
        <w:t>，同意比选人使用。</w:t>
      </w:r>
    </w:p>
    <w:p w14:paraId="429FB5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lang w:val="zh-CN" w:eastAsia="zh-CN"/>
        </w:rPr>
        <w:t>本项目审计服务费最高限</w:t>
      </w:r>
      <w:r>
        <w:rPr>
          <w:rFonts w:hint="default" w:ascii="Times New Roman" w:hAnsi="Times New Roman" w:eastAsia="仿宋_GB2312" w:cs="Times New Roman"/>
          <w:sz w:val="32"/>
          <w:szCs w:val="32"/>
          <w:highlight w:val="none"/>
          <w:lang w:val="zh-CN" w:eastAsia="zh-CN"/>
        </w:rPr>
        <w:t>价为</w:t>
      </w:r>
      <w:r>
        <w:rPr>
          <w:rFonts w:hint="default" w:ascii="Times New Roman" w:hAnsi="Times New Roman" w:eastAsia="仿宋_GB2312" w:cs="Times New Roman"/>
          <w:sz w:val="32"/>
          <w:szCs w:val="32"/>
          <w:highlight w:val="none"/>
          <w:lang w:val="en-US" w:eastAsia="zh-CN"/>
        </w:rPr>
        <w:t>28万</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zh-CN" w:eastAsia="zh-CN"/>
        </w:rPr>
        <w:t>，超出最高限价的投标报价无效。</w:t>
      </w:r>
    </w:p>
    <w:p w14:paraId="5A299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zh-CN" w:eastAsia="zh-CN"/>
        </w:rPr>
        <w:t>资金支付</w:t>
      </w:r>
    </w:p>
    <w:p w14:paraId="40DAB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5A9DCB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支付时间及条件：根据签订的《审计服务合同》约定执行。</w:t>
      </w:r>
    </w:p>
    <w:p w14:paraId="717CDB9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487686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B50454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1050AD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3C1C6F2">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D9E63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80CBE0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B30BFE2">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31B6C9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A1824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BF14F8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19C70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4DF39D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231385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288F0E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AD0148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6"/>
        <w:tblW w:w="9887" w:type="dxa"/>
        <w:jc w:val="center"/>
        <w:tblLayout w:type="fixed"/>
        <w:tblCellMar>
          <w:top w:w="0" w:type="dxa"/>
          <w:left w:w="108" w:type="dxa"/>
          <w:bottom w:w="0" w:type="dxa"/>
          <w:right w:w="108" w:type="dxa"/>
        </w:tblCellMar>
      </w:tblPr>
      <w:tblGrid>
        <w:gridCol w:w="753"/>
        <w:gridCol w:w="1986"/>
        <w:gridCol w:w="7148"/>
      </w:tblGrid>
      <w:tr w14:paraId="20E58D63">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7158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0853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7152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953AF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AC730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DF62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9F3E6">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许昌市城投发展集团有限公司下属公司2025年度专项审计服务会计师事务所比选项目</w:t>
            </w:r>
          </w:p>
          <w:p w14:paraId="1E58C28C">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项目内容：根据融资需要，提供</w:t>
            </w:r>
            <w:r>
              <w:rPr>
                <w:rFonts w:hint="default" w:ascii="Times New Roman" w:hAnsi="Times New Roman" w:eastAsia="仿宋" w:cs="Times New Roman"/>
                <w:color w:val="auto"/>
                <w:sz w:val="24"/>
                <w:szCs w:val="24"/>
                <w:lang w:val="en-US" w:eastAsia="zh-CN"/>
              </w:rPr>
              <w:t>经</w:t>
            </w:r>
            <w:r>
              <w:rPr>
                <w:rFonts w:hint="default" w:ascii="Times New Roman" w:hAnsi="Times New Roman" w:eastAsia="仿宋" w:cs="Times New Roman"/>
                <w:color w:val="auto"/>
                <w:sz w:val="24"/>
                <w:szCs w:val="24"/>
                <w:lang w:val="zh-CN" w:eastAsia="zh-CN"/>
              </w:rPr>
              <w:t>金融机构认可的财务报表及具有连贯性的</w:t>
            </w:r>
            <w:r>
              <w:rPr>
                <w:rFonts w:hint="default" w:ascii="Times New Roman" w:hAnsi="Times New Roman" w:eastAsia="仿宋" w:cs="Times New Roman"/>
                <w:color w:val="auto"/>
                <w:sz w:val="24"/>
                <w:szCs w:val="24"/>
                <w:lang w:val="en-US" w:eastAsia="zh-CN"/>
              </w:rPr>
              <w:t>连续年</w:t>
            </w:r>
            <w:r>
              <w:rPr>
                <w:rFonts w:hint="default" w:ascii="Times New Roman" w:hAnsi="Times New Roman" w:eastAsia="仿宋" w:cs="Times New Roman"/>
                <w:color w:val="auto"/>
                <w:sz w:val="24"/>
                <w:szCs w:val="24"/>
                <w:lang w:val="zh-CN" w:eastAsia="zh-CN"/>
              </w:rPr>
              <w:t>度审计报告</w:t>
            </w:r>
            <w:r>
              <w:rPr>
                <w:rFonts w:hint="default" w:ascii="Times New Roman" w:hAnsi="Times New Roman" w:eastAsia="仿宋" w:cs="Times New Roman"/>
                <w:color w:val="auto"/>
                <w:sz w:val="24"/>
                <w:szCs w:val="24"/>
                <w:lang w:val="en-US" w:eastAsia="zh-CN"/>
              </w:rPr>
              <w:t>。</w:t>
            </w:r>
          </w:p>
        </w:tc>
      </w:tr>
      <w:tr w14:paraId="529162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F3C6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5D15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540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color w:val="auto"/>
                <w:sz w:val="24"/>
                <w:szCs w:val="24"/>
                <w:lang w:val="en-US" w:eastAsia="zh-CN"/>
              </w:rPr>
              <w:t>许昌市城投发展集团有限公司</w:t>
            </w:r>
          </w:p>
          <w:p w14:paraId="0FEE6D1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 xml:space="preserve">许昌市财政综合大楼9楼 </w:t>
            </w:r>
          </w:p>
          <w:p w14:paraId="21ADB3B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 xml:space="preserve">陈女士 </w:t>
            </w:r>
            <w:r>
              <w:rPr>
                <w:rFonts w:hint="default" w:ascii="Times New Roman" w:hAnsi="Times New Roman" w:eastAsia="仿宋" w:cs="Times New Roman"/>
                <w:bCs/>
                <w:color w:val="auto"/>
                <w:sz w:val="24"/>
                <w:szCs w:val="24"/>
                <w:highlight w:val="none"/>
                <w:lang w:eastAsia="zh-CN"/>
              </w:rPr>
              <w:t xml:space="preserve">          </w:t>
            </w:r>
          </w:p>
          <w:p w14:paraId="1858C68D">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color w:val="auto"/>
                <w:sz w:val="24"/>
                <w:szCs w:val="24"/>
                <w:highlight w:val="none"/>
                <w:lang w:val="en-US" w:eastAsia="zh-CN"/>
              </w:rPr>
              <w:t xml:space="preserve"> </w:t>
            </w:r>
          </w:p>
        </w:tc>
      </w:tr>
      <w:tr w14:paraId="226AE05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F2B4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39531B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6A6E9">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6B9BB1F0">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0C4A2225">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1、在中华人民共和国境内注册，持有合法有效的企业营业执照、会计事务所执业证书等证件；</w:t>
            </w:r>
          </w:p>
          <w:p w14:paraId="149693C0">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2、比选申请人近三年未因重大的执业质量等问题受到通报、处罚，没有处于破产、被责令停业或存在其他违法行为；</w:t>
            </w:r>
          </w:p>
          <w:p w14:paraId="012DBDB5">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3、未被列入经营异常名录或者严重违法失信名单、失信被执行人，重大税收违法案件当事人名单、政府采购严重违法失信行为记录名单。</w:t>
            </w:r>
          </w:p>
        </w:tc>
      </w:tr>
      <w:tr w14:paraId="5CC90F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FD7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84B2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0DE9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8C2B28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C80A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BEA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4B79">
            <w:pPr>
              <w:numPr>
                <w:ilvl w:val="0"/>
                <w:numId w:val="5"/>
              </w:numP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lang w:val="zh-CN" w:eastAsia="zh-CN"/>
              </w:rPr>
              <w:t>本项目审计服务费最高限</w:t>
            </w:r>
            <w:r>
              <w:rPr>
                <w:rFonts w:hint="default" w:ascii="Times New Roman" w:hAnsi="Times New Roman" w:eastAsia="仿宋" w:cs="Times New Roman"/>
                <w:color w:val="auto"/>
                <w:sz w:val="24"/>
                <w:szCs w:val="24"/>
                <w:highlight w:val="none"/>
                <w:lang w:val="zh-CN" w:eastAsia="zh-CN"/>
              </w:rPr>
              <w:t>价为</w:t>
            </w:r>
            <w:r>
              <w:rPr>
                <w:rFonts w:hint="default" w:ascii="Times New Roman" w:hAnsi="Times New Roman" w:eastAsia="仿宋" w:cs="Times New Roman"/>
                <w:color w:val="auto"/>
                <w:sz w:val="24"/>
                <w:szCs w:val="24"/>
                <w:highlight w:val="none"/>
                <w:lang w:val="en-US" w:eastAsia="zh-CN"/>
              </w:rPr>
              <w:t>28</w:t>
            </w:r>
            <w:r>
              <w:rPr>
                <w:rFonts w:hint="default" w:ascii="Times New Roman" w:hAnsi="Times New Roman" w:eastAsia="仿宋" w:cs="Times New Roman"/>
                <w:color w:val="auto"/>
                <w:sz w:val="24"/>
                <w:szCs w:val="24"/>
                <w:lang w:val="en-US" w:eastAsia="zh-CN"/>
              </w:rPr>
              <w:t>万元</w:t>
            </w:r>
            <w:r>
              <w:rPr>
                <w:rFonts w:hint="default" w:ascii="Times New Roman" w:hAnsi="Times New Roman" w:eastAsia="仿宋" w:cs="Times New Roman"/>
                <w:color w:val="auto"/>
                <w:sz w:val="24"/>
                <w:szCs w:val="24"/>
                <w:lang w:val="zh-CN" w:eastAsia="zh-CN"/>
              </w:rPr>
              <w:t>，超出最高限价的投标报价无效。</w:t>
            </w:r>
          </w:p>
          <w:p w14:paraId="41F9434D">
            <w:pPr>
              <w:numPr>
                <w:ilvl w:val="0"/>
                <w:numId w:val="5"/>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整体报价。</w:t>
            </w:r>
          </w:p>
          <w:p w14:paraId="49A505F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27D645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957F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A9CFA">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FA6E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70D2323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3E9F39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9598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EE50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C48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42B111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BB1520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61968">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92F6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EB8E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7FC25837">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586AB1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FC69E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E2807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A3CD8">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6D42B43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A2CB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C84CD">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E0069">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22</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9</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1B410FB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F26B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5988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DFDC9">
            <w:pPr>
              <w:autoSpaceDE w:val="0"/>
              <w:autoSpaceDN w:val="0"/>
              <w:adjustRightInd w:val="0"/>
              <w:spacing w:line="360" w:lineRule="auto"/>
              <w:ind w:right="-11"/>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许昌市财政综合大楼八楼会议室</w:t>
            </w:r>
          </w:p>
        </w:tc>
      </w:tr>
      <w:tr w14:paraId="3E02A3F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9727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5BDD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C4C71">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2DBE257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4A93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4B03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3EF6E">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纸质投标文件：纸质版投标文件正本1份（需胶装）</w:t>
            </w:r>
          </w:p>
        </w:tc>
      </w:tr>
      <w:tr w14:paraId="716B74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042CB">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F29C8">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49C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39AAAE91">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023BE2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6C1A">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D19F2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2769">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B0ECD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6CC6E">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A3227">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2A35">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2F39323A">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95E702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CD599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28789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3C811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39A01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4A8FC6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CFED7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10399C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11CE8F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14:paraId="0284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14:paraId="4E20929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268" w:type="dxa"/>
            <w:noWrap w:val="0"/>
            <w:vAlign w:val="center"/>
          </w:tcPr>
          <w:p w14:paraId="585E2BE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117" w:type="dxa"/>
            <w:noWrap w:val="0"/>
            <w:vAlign w:val="center"/>
          </w:tcPr>
          <w:p w14:paraId="41E499E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462" w:type="dxa"/>
            <w:noWrap w:val="0"/>
            <w:vAlign w:val="center"/>
          </w:tcPr>
          <w:p w14:paraId="6C533224">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4FD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14:paraId="6AC4AA0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268" w:type="dxa"/>
            <w:noWrap w:val="0"/>
            <w:vAlign w:val="center"/>
          </w:tcPr>
          <w:p w14:paraId="5BB799B4">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25</w:t>
            </w:r>
            <w:r>
              <w:rPr>
                <w:rFonts w:hint="default" w:ascii="Times New Roman" w:hAnsi="Times New Roman" w:cs="Times New Roman"/>
                <w:sz w:val="28"/>
                <w:szCs w:val="28"/>
                <w:highlight w:val="none"/>
              </w:rPr>
              <w:t>分</w:t>
            </w:r>
          </w:p>
        </w:tc>
        <w:tc>
          <w:tcPr>
            <w:tcW w:w="4117" w:type="dxa"/>
            <w:noWrap w:val="0"/>
            <w:vAlign w:val="center"/>
          </w:tcPr>
          <w:p w14:paraId="4DB05396">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1.收费超过</w:t>
            </w:r>
            <w:r>
              <w:rPr>
                <w:rFonts w:hint="default" w:ascii="Times New Roman" w:hAnsi="Times New Roman" w:cs="Times New Roman"/>
                <w:color w:val="000000"/>
                <w:kern w:val="0"/>
                <w:sz w:val="28"/>
                <w:szCs w:val="28"/>
                <w:highlight w:val="none"/>
                <w:lang w:val="en-US" w:eastAsia="zh-CN" w:bidi="ar"/>
              </w:rPr>
              <w:t>28</w:t>
            </w:r>
            <w:r>
              <w:rPr>
                <w:rFonts w:hint="default" w:ascii="Times New Roman" w:hAnsi="Times New Roman" w:cs="Times New Roman"/>
                <w:color w:val="000000"/>
                <w:kern w:val="0"/>
                <w:sz w:val="28"/>
                <w:szCs w:val="28"/>
                <w:highlight w:val="none"/>
                <w:lang w:bidi="ar"/>
              </w:rPr>
              <w:t>万元为无效报价；</w:t>
            </w:r>
          </w:p>
          <w:p w14:paraId="0F523FA4">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2.所有参与的</w:t>
            </w:r>
            <w:r>
              <w:rPr>
                <w:rFonts w:hint="default" w:ascii="Times New Roman" w:hAnsi="Times New Roman" w:cs="Times New Roman"/>
                <w:color w:val="000000"/>
                <w:kern w:val="0"/>
                <w:sz w:val="28"/>
                <w:szCs w:val="28"/>
                <w:highlight w:val="none"/>
                <w:lang w:eastAsia="zh-CN" w:bidi="ar"/>
              </w:rPr>
              <w:t>比选</w:t>
            </w:r>
            <w:r>
              <w:rPr>
                <w:rFonts w:hint="default" w:ascii="Times New Roman" w:hAnsi="Times New Roman" w:cs="Times New Roman"/>
                <w:color w:val="000000"/>
                <w:kern w:val="0"/>
                <w:sz w:val="28"/>
                <w:szCs w:val="28"/>
                <w:highlight w:val="none"/>
                <w:lang w:bidi="ar"/>
              </w:rPr>
              <w:t>申请人最低的有效报价为基准报价；</w:t>
            </w:r>
          </w:p>
          <w:p w14:paraId="61B248DC">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3.报价得分=（基准报价/报价）×</w:t>
            </w:r>
            <w:r>
              <w:rPr>
                <w:rFonts w:hint="default" w:ascii="Times New Roman" w:hAnsi="Times New Roman" w:cs="Times New Roman"/>
                <w:color w:val="000000"/>
                <w:kern w:val="0"/>
                <w:sz w:val="28"/>
                <w:szCs w:val="28"/>
                <w:highlight w:val="none"/>
                <w:lang w:val="en-US" w:eastAsia="zh-CN" w:bidi="ar"/>
              </w:rPr>
              <w:t>25</w:t>
            </w:r>
            <w:r>
              <w:rPr>
                <w:rFonts w:hint="default" w:ascii="Times New Roman" w:hAnsi="Times New Roman" w:cs="Times New Roman"/>
                <w:color w:val="000000"/>
                <w:kern w:val="0"/>
                <w:sz w:val="28"/>
                <w:szCs w:val="28"/>
                <w:highlight w:val="none"/>
                <w:lang w:bidi="ar"/>
              </w:rPr>
              <w:t>分。</w:t>
            </w:r>
          </w:p>
        </w:tc>
        <w:tc>
          <w:tcPr>
            <w:tcW w:w="1462" w:type="dxa"/>
            <w:noWrap w:val="0"/>
            <w:vAlign w:val="center"/>
          </w:tcPr>
          <w:p w14:paraId="647392A5">
            <w:pPr>
              <w:tabs>
                <w:tab w:val="left" w:pos="622"/>
              </w:tabs>
              <w:jc w:val="center"/>
              <w:rPr>
                <w:rFonts w:hint="default" w:ascii="Times New Roman" w:hAnsi="Times New Roman" w:cs="Times New Roman"/>
                <w:sz w:val="24"/>
                <w:highlight w:val="yellow"/>
              </w:rPr>
            </w:pPr>
          </w:p>
        </w:tc>
      </w:tr>
      <w:tr w14:paraId="008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675" w:type="dxa"/>
            <w:noWrap w:val="0"/>
            <w:vAlign w:val="center"/>
          </w:tcPr>
          <w:p w14:paraId="3DFD92F3">
            <w:pPr>
              <w:tabs>
                <w:tab w:val="left" w:pos="622"/>
              </w:tabs>
              <w:spacing w:line="440" w:lineRule="exact"/>
              <w:jc w:val="center"/>
              <w:rPr>
                <w:rFonts w:hint="default" w:ascii="Times New Roman" w:hAnsi="Times New Roman" w:cs="Times New Roman"/>
                <w:b/>
                <w:color w:val="000000"/>
                <w:kern w:val="0"/>
                <w:sz w:val="28"/>
                <w:szCs w:val="28"/>
                <w:highlight w:val="none"/>
                <w:lang w:val="en-US" w:bidi="ar"/>
              </w:rPr>
            </w:pPr>
            <w:r>
              <w:rPr>
                <w:rFonts w:hint="default" w:ascii="Times New Roman" w:hAnsi="Times New Roman" w:cs="Times New Roman"/>
                <w:b/>
                <w:sz w:val="28"/>
                <w:szCs w:val="28"/>
                <w:highlight w:val="none"/>
                <w:lang w:val="en-US" w:eastAsia="zh-CN"/>
              </w:rPr>
              <w:t>服务方案</w:t>
            </w:r>
          </w:p>
        </w:tc>
        <w:tc>
          <w:tcPr>
            <w:tcW w:w="1268" w:type="dxa"/>
            <w:noWrap w:val="0"/>
            <w:vAlign w:val="center"/>
          </w:tcPr>
          <w:p w14:paraId="7D1FC4F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35分</w:t>
            </w:r>
          </w:p>
        </w:tc>
        <w:tc>
          <w:tcPr>
            <w:tcW w:w="4117" w:type="dxa"/>
            <w:noWrap w:val="0"/>
            <w:vAlign w:val="center"/>
          </w:tcPr>
          <w:p w14:paraId="247AEC79">
            <w:pPr>
              <w:widowControl/>
              <w:spacing w:line="440" w:lineRule="exact"/>
              <w:jc w:val="left"/>
              <w:textAlignment w:val="center"/>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1</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cs="Times New Roman"/>
                <w:color w:val="000000"/>
                <w:kern w:val="0"/>
                <w:sz w:val="28"/>
                <w:szCs w:val="28"/>
                <w:highlight w:val="none"/>
                <w:lang w:val="en-US" w:eastAsia="zh-CN" w:bidi="ar"/>
              </w:rPr>
              <w:t>提供审计服务时间安排优秀的得</w:t>
            </w:r>
            <w:r>
              <w:rPr>
                <w:rFonts w:hint="default" w:ascii="Times New Roman" w:hAnsi="Times New Roman" w:cs="Times New Roman"/>
                <w:color w:val="000000"/>
                <w:kern w:val="0"/>
                <w:sz w:val="28"/>
                <w:szCs w:val="28"/>
                <w:highlight w:val="none"/>
                <w:lang w:val="en-US" w:eastAsia="zh-CN" w:bidi="ar"/>
              </w:rPr>
              <w:t>6</w:t>
            </w:r>
            <w:r>
              <w:rPr>
                <w:rFonts w:hint="default" w:ascii="Times New Roman" w:hAnsi="Times New Roman" w:cs="Times New Roman"/>
                <w:color w:val="000000"/>
                <w:kern w:val="0"/>
                <w:sz w:val="28"/>
                <w:szCs w:val="28"/>
                <w:highlight w:val="none"/>
                <w:lang w:val="en-US" w:eastAsia="zh-CN" w:bidi="ar"/>
              </w:rPr>
              <w:t>-</w:t>
            </w:r>
            <w:r>
              <w:rPr>
                <w:rFonts w:hint="default" w:ascii="Times New Roman" w:hAnsi="Times New Roman" w:cs="Times New Roman"/>
                <w:color w:val="000000"/>
                <w:kern w:val="0"/>
                <w:sz w:val="28"/>
                <w:szCs w:val="28"/>
                <w:highlight w:val="none"/>
                <w:lang w:val="en-US" w:eastAsia="zh-CN" w:bidi="ar"/>
              </w:rPr>
              <w:t>15</w:t>
            </w:r>
            <w:r>
              <w:rPr>
                <w:rFonts w:hint="default" w:ascii="Times New Roman" w:hAnsi="Times New Roman" w:cs="Times New Roman"/>
                <w:color w:val="000000"/>
                <w:kern w:val="0"/>
                <w:sz w:val="28"/>
                <w:szCs w:val="28"/>
                <w:highlight w:val="none"/>
                <w:lang w:val="en-US" w:eastAsia="zh-CN" w:bidi="ar"/>
              </w:rPr>
              <w:t>分，良好的得1-</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分，没有不得分。</w:t>
            </w:r>
          </w:p>
          <w:p w14:paraId="1CFE7594">
            <w:pPr>
              <w:widowControl/>
              <w:spacing w:line="440" w:lineRule="exact"/>
              <w:jc w:val="left"/>
              <w:textAlignment w:val="center"/>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2</w:t>
            </w:r>
            <w:r>
              <w:rPr>
                <w:rFonts w:hint="eastAsia" w:ascii="Times New Roman" w:hAnsi="Times New Roman" w:cs="Times New Roman"/>
                <w:color w:val="000000"/>
                <w:kern w:val="0"/>
                <w:sz w:val="28"/>
                <w:szCs w:val="28"/>
                <w:highlight w:val="none"/>
                <w:lang w:val="en-US" w:eastAsia="zh-CN" w:bidi="ar"/>
              </w:rPr>
              <w:t>.</w:t>
            </w:r>
            <w:bookmarkStart w:id="9" w:name="_GoBack"/>
            <w:bookmarkEnd w:id="9"/>
            <w:r>
              <w:rPr>
                <w:rFonts w:hint="default" w:ascii="Times New Roman" w:hAnsi="Times New Roman" w:cs="Times New Roman"/>
                <w:color w:val="000000"/>
                <w:kern w:val="0"/>
                <w:sz w:val="28"/>
                <w:szCs w:val="28"/>
                <w:highlight w:val="none"/>
                <w:lang w:val="en-US" w:eastAsia="zh-CN" w:bidi="ar"/>
              </w:rPr>
              <w:t>服务方案详细、全面、可行,涉及审计过程中与金融机构、财务等协调沟通有关内容、困难问题和解决方案等要素,方案和举措优秀的得1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-20分，良好的得 1-10分，没有不得分。</w:t>
            </w:r>
          </w:p>
        </w:tc>
        <w:tc>
          <w:tcPr>
            <w:tcW w:w="1462" w:type="dxa"/>
            <w:noWrap w:val="0"/>
            <w:vAlign w:val="center"/>
          </w:tcPr>
          <w:p w14:paraId="6F514673">
            <w:pPr>
              <w:tabs>
                <w:tab w:val="left" w:pos="622"/>
              </w:tabs>
              <w:jc w:val="center"/>
              <w:rPr>
                <w:rFonts w:hint="default" w:ascii="Times New Roman" w:hAnsi="Times New Roman" w:cs="Times New Roman"/>
                <w:sz w:val="24"/>
                <w:highlight w:val="yellow"/>
              </w:rPr>
            </w:pPr>
          </w:p>
        </w:tc>
      </w:tr>
      <w:tr w14:paraId="030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75" w:type="dxa"/>
            <w:noWrap w:val="0"/>
            <w:vAlign w:val="center"/>
          </w:tcPr>
          <w:p w14:paraId="40657D60">
            <w:pPr>
              <w:tabs>
                <w:tab w:val="left" w:pos="622"/>
              </w:tabs>
              <w:spacing w:line="440" w:lineRule="exact"/>
              <w:jc w:val="center"/>
              <w:rPr>
                <w:rFonts w:hint="default" w:ascii="Times New Roman" w:hAnsi="Times New Roman" w:cs="Times New Roman"/>
                <w:b/>
                <w:color w:val="000000"/>
                <w:kern w:val="0"/>
                <w:sz w:val="28"/>
                <w:szCs w:val="28"/>
                <w:highlight w:val="none"/>
                <w:lang w:val="en-US" w:eastAsia="zh-CN" w:bidi="ar"/>
              </w:rPr>
            </w:pPr>
          </w:p>
          <w:p w14:paraId="79F690A1">
            <w:pPr>
              <w:tabs>
                <w:tab w:val="left" w:pos="622"/>
              </w:tabs>
              <w:spacing w:line="440" w:lineRule="exact"/>
              <w:jc w:val="center"/>
              <w:rPr>
                <w:rFonts w:hint="default" w:ascii="Times New Roman" w:hAnsi="Times New Roman" w:cs="Times New Roman"/>
                <w:b/>
                <w:color w:val="000000"/>
                <w:kern w:val="0"/>
                <w:sz w:val="28"/>
                <w:szCs w:val="28"/>
                <w:highlight w:val="none"/>
                <w:lang w:eastAsia="zh-CN" w:bidi="ar"/>
              </w:rPr>
            </w:pPr>
            <w:r>
              <w:rPr>
                <w:rFonts w:hint="default" w:ascii="Times New Roman" w:hAnsi="Times New Roman" w:eastAsia="仿宋_GB2312" w:cs="Times New Roman"/>
                <w:b/>
                <w:bCs/>
                <w:sz w:val="32"/>
                <w:szCs w:val="32"/>
                <w:highlight w:val="none"/>
                <w:lang w:val="en-US" w:eastAsia="zh-CN"/>
              </w:rPr>
              <w:t>服务业绩</w:t>
            </w:r>
          </w:p>
        </w:tc>
        <w:tc>
          <w:tcPr>
            <w:tcW w:w="1268" w:type="dxa"/>
            <w:noWrap w:val="0"/>
            <w:vAlign w:val="center"/>
          </w:tcPr>
          <w:p w14:paraId="2526A889">
            <w:pPr>
              <w:tabs>
                <w:tab w:val="left" w:pos="622"/>
              </w:tabs>
              <w:spacing w:line="440" w:lineRule="exact"/>
              <w:jc w:val="center"/>
              <w:rPr>
                <w:rFonts w:hint="default" w:ascii="Times New Roman" w:hAnsi="Times New Roman" w:cs="Times New Roman"/>
                <w:sz w:val="28"/>
                <w:szCs w:val="28"/>
                <w:highlight w:val="none"/>
                <w:lang w:val="en-US" w:eastAsia="zh-CN"/>
              </w:rPr>
            </w:pPr>
          </w:p>
          <w:p w14:paraId="13737351">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p w14:paraId="754BF3C0">
            <w:pPr>
              <w:tabs>
                <w:tab w:val="left" w:pos="622"/>
              </w:tabs>
              <w:spacing w:line="440" w:lineRule="exact"/>
              <w:jc w:val="center"/>
              <w:rPr>
                <w:rFonts w:hint="default" w:ascii="Times New Roman" w:hAnsi="Times New Roman" w:cs="Times New Roman"/>
                <w:sz w:val="28"/>
                <w:szCs w:val="28"/>
                <w:highlight w:val="none"/>
                <w:lang w:val="en-US" w:eastAsia="zh-CN"/>
              </w:rPr>
            </w:pPr>
          </w:p>
        </w:tc>
        <w:tc>
          <w:tcPr>
            <w:tcW w:w="4117" w:type="dxa"/>
            <w:noWrap w:val="0"/>
            <w:vAlign w:val="center"/>
          </w:tcPr>
          <w:p w14:paraId="1ED5E726">
            <w:pPr>
              <w:widowControl/>
              <w:spacing w:line="440" w:lineRule="exact"/>
              <w:jc w:val="left"/>
              <w:textAlignment w:val="center"/>
              <w:rPr>
                <w:rFonts w:hint="default" w:ascii="Times New Roman" w:hAnsi="Times New Roman" w:cs="Times New Roman"/>
                <w:sz w:val="28"/>
                <w:szCs w:val="28"/>
                <w:highlight w:val="none"/>
                <w:lang w:eastAsia="zh-CN"/>
              </w:rPr>
            </w:pPr>
            <w:r>
              <w:rPr>
                <w:rFonts w:hint="default" w:ascii="Times New Roman" w:hAnsi="Times New Roman" w:cs="Times New Roman"/>
                <w:color w:val="000000"/>
                <w:kern w:val="0"/>
                <w:sz w:val="28"/>
                <w:szCs w:val="28"/>
                <w:highlight w:val="none"/>
                <w:lang w:val="en-US" w:eastAsia="zh-CN" w:bidi="ar"/>
              </w:rPr>
              <w:t>每提供</w:t>
            </w:r>
            <w:r>
              <w:rPr>
                <w:rFonts w:hint="default" w:ascii="Times New Roman" w:hAnsi="Times New Roman" w:cs="Times New Roman"/>
                <w:color w:val="000000"/>
                <w:kern w:val="0"/>
                <w:sz w:val="28"/>
                <w:szCs w:val="28"/>
                <w:highlight w:val="none"/>
                <w:lang w:val="en-US" w:eastAsia="zh-CN" w:bidi="ar"/>
              </w:rPr>
              <w:t>1份</w:t>
            </w:r>
            <w:r>
              <w:rPr>
                <w:rFonts w:hint="default" w:ascii="Times New Roman" w:hAnsi="Times New Roman" w:cs="Times New Roman"/>
                <w:color w:val="000000"/>
                <w:kern w:val="0"/>
                <w:sz w:val="28"/>
                <w:szCs w:val="28"/>
                <w:highlight w:val="none"/>
                <w:lang w:val="en-US" w:eastAsia="zh-CN" w:bidi="ar"/>
              </w:rPr>
              <w:t>近三年审计服务合同得5分，最高2</w:t>
            </w:r>
            <w:r>
              <w:rPr>
                <w:rFonts w:hint="default" w:ascii="Times New Roman" w:hAnsi="Times New Roman" w:cs="Times New Roman"/>
                <w:color w:val="000000"/>
                <w:kern w:val="0"/>
                <w:sz w:val="28"/>
                <w:szCs w:val="28"/>
                <w:highlight w:val="none"/>
                <w:lang w:val="en-US" w:eastAsia="zh-CN" w:bidi="ar"/>
              </w:rPr>
              <w:t>0</w:t>
            </w:r>
            <w:r>
              <w:rPr>
                <w:rFonts w:hint="default" w:ascii="Times New Roman" w:hAnsi="Times New Roman" w:cs="Times New Roman"/>
                <w:color w:val="000000"/>
                <w:kern w:val="0"/>
                <w:sz w:val="28"/>
                <w:szCs w:val="28"/>
                <w:highlight w:val="none"/>
                <w:lang w:val="en-US" w:eastAsia="zh-CN" w:bidi="ar"/>
              </w:rPr>
              <w:t>分。</w:t>
            </w:r>
          </w:p>
        </w:tc>
        <w:tc>
          <w:tcPr>
            <w:tcW w:w="1462" w:type="dxa"/>
            <w:noWrap w:val="0"/>
            <w:vAlign w:val="center"/>
          </w:tcPr>
          <w:p w14:paraId="56E88F5B">
            <w:pPr>
              <w:tabs>
                <w:tab w:val="left" w:pos="622"/>
              </w:tabs>
              <w:jc w:val="center"/>
              <w:rPr>
                <w:rFonts w:hint="default" w:ascii="Times New Roman" w:hAnsi="Times New Roman" w:cs="Times New Roman"/>
                <w:sz w:val="24"/>
                <w:highlight w:val="yellow"/>
              </w:rPr>
            </w:pPr>
          </w:p>
        </w:tc>
      </w:tr>
      <w:tr w14:paraId="220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14:paraId="41714269">
            <w:pPr>
              <w:tabs>
                <w:tab w:val="left" w:pos="622"/>
              </w:tabs>
              <w:spacing w:line="440" w:lineRule="exact"/>
              <w:jc w:val="center"/>
              <w:rPr>
                <w:rFonts w:hint="default" w:ascii="Times New Roman" w:hAnsi="Times New Roman" w:cs="Times New Roman"/>
                <w:b/>
                <w:sz w:val="28"/>
                <w:szCs w:val="28"/>
                <w:highlight w:val="none"/>
                <w:lang w:val="en-US" w:eastAsia="zh-CN"/>
              </w:rPr>
            </w:pPr>
            <w:r>
              <w:rPr>
                <w:rFonts w:hint="default" w:ascii="Times New Roman" w:hAnsi="Times New Roman" w:eastAsia="仿宋_GB2312" w:cs="Times New Roman"/>
                <w:b/>
                <w:sz w:val="32"/>
                <w:szCs w:val="32"/>
                <w:highlight w:val="none"/>
                <w:lang w:val="en-US" w:eastAsia="zh-CN"/>
              </w:rPr>
              <w:t>服务团队人员</w:t>
            </w:r>
          </w:p>
        </w:tc>
        <w:tc>
          <w:tcPr>
            <w:tcW w:w="1268" w:type="dxa"/>
            <w:noWrap w:val="0"/>
            <w:vAlign w:val="center"/>
          </w:tcPr>
          <w:p w14:paraId="7C64F8A0">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4117" w:type="dxa"/>
            <w:noWrap w:val="0"/>
            <w:vAlign w:val="center"/>
          </w:tcPr>
          <w:p w14:paraId="3D0EAEF4">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会计师服务团队成员每有1名注册会计师得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分，最高20分。（需提供劳动合同等证明材料及证书复印件）</w:t>
            </w:r>
          </w:p>
        </w:tc>
        <w:tc>
          <w:tcPr>
            <w:tcW w:w="1462" w:type="dxa"/>
            <w:noWrap w:val="0"/>
            <w:vAlign w:val="center"/>
          </w:tcPr>
          <w:p w14:paraId="0C0DE41B">
            <w:pPr>
              <w:tabs>
                <w:tab w:val="left" w:pos="622"/>
              </w:tabs>
              <w:jc w:val="center"/>
              <w:rPr>
                <w:rFonts w:hint="default" w:ascii="Times New Roman" w:hAnsi="Times New Roman" w:cs="Times New Roman"/>
                <w:sz w:val="24"/>
                <w:highlight w:val="yellow"/>
              </w:rPr>
            </w:pPr>
          </w:p>
        </w:tc>
      </w:tr>
      <w:tr w14:paraId="4FF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14:paraId="0C730C6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268" w:type="dxa"/>
            <w:noWrap w:val="0"/>
            <w:vAlign w:val="center"/>
          </w:tcPr>
          <w:p w14:paraId="4AF90355">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117" w:type="dxa"/>
            <w:noWrap w:val="0"/>
            <w:vAlign w:val="center"/>
          </w:tcPr>
          <w:p w14:paraId="0B8E62C9">
            <w:pPr>
              <w:tabs>
                <w:tab w:val="left" w:pos="622"/>
              </w:tabs>
              <w:jc w:val="center"/>
              <w:rPr>
                <w:rFonts w:hint="default" w:ascii="Times New Roman" w:hAnsi="Times New Roman" w:cs="Times New Roman"/>
                <w:sz w:val="24"/>
              </w:rPr>
            </w:pPr>
          </w:p>
        </w:tc>
        <w:tc>
          <w:tcPr>
            <w:tcW w:w="1462" w:type="dxa"/>
            <w:noWrap w:val="0"/>
            <w:vAlign w:val="center"/>
          </w:tcPr>
          <w:p w14:paraId="57359015">
            <w:pPr>
              <w:tabs>
                <w:tab w:val="left" w:pos="622"/>
              </w:tabs>
              <w:jc w:val="center"/>
              <w:rPr>
                <w:rFonts w:hint="default" w:ascii="Times New Roman" w:hAnsi="Times New Roman" w:cs="Times New Roman"/>
                <w:sz w:val="24"/>
              </w:rPr>
            </w:pPr>
          </w:p>
        </w:tc>
      </w:tr>
    </w:tbl>
    <w:p w14:paraId="2048E1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87064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0B919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CA9AE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DFE65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A7A47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3868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0CACB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报告。</w:t>
      </w:r>
    </w:p>
    <w:p w14:paraId="34C8D89A">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7333596">
      <w:pPr>
        <w:pStyle w:val="17"/>
        <w:rPr>
          <w:rFonts w:hint="default" w:ascii="Times New Roman" w:hAnsi="Times New Roman" w:eastAsia="仿宋" w:cs="Times New Roman"/>
          <w:b/>
          <w:bCs/>
          <w:color w:val="auto"/>
          <w:sz w:val="40"/>
          <w:szCs w:val="40"/>
          <w:shd w:val="clear" w:color="050000" w:fill="auto"/>
        </w:rPr>
      </w:pPr>
    </w:p>
    <w:p w14:paraId="4EDBAD80">
      <w:pPr>
        <w:spacing w:line="360" w:lineRule="auto"/>
        <w:jc w:val="center"/>
        <w:rPr>
          <w:rFonts w:hint="default" w:ascii="Times New Roman" w:hAnsi="Times New Roman" w:eastAsia="仿宋" w:cs="Times New Roman"/>
          <w:b/>
          <w:color w:val="auto"/>
          <w:sz w:val="40"/>
          <w:szCs w:val="40"/>
          <w:shd w:val="clear" w:color="060000" w:fill="auto"/>
        </w:rPr>
      </w:pPr>
    </w:p>
    <w:p w14:paraId="12DE273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4A1687BE">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AF92F72">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6274126"/>
      <w:bookmarkStart w:id="7" w:name="_Toc174185203"/>
      <w:bookmarkStart w:id="8" w:name="_Toc184023138"/>
    </w:p>
    <w:p w14:paraId="5F418D1F">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20C44D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许昌市城投发展集团有限公司</w:t>
      </w:r>
    </w:p>
    <w:p w14:paraId="4F9B0471">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下属公司2025年度专项审计服务</w:t>
      </w:r>
    </w:p>
    <w:p w14:paraId="1B450565">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会计师事务所</w:t>
      </w:r>
    </w:p>
    <w:p w14:paraId="28E31B65">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AC7403F">
      <w:pPr>
        <w:jc w:val="center"/>
        <w:rPr>
          <w:rFonts w:hint="default" w:ascii="Times New Roman" w:hAnsi="Times New Roman" w:eastAsia="仿宋" w:cs="Times New Roman"/>
          <w:color w:val="auto"/>
          <w:sz w:val="28"/>
          <w:szCs w:val="28"/>
          <w:shd w:val="clear" w:color="050000" w:fill="auto"/>
        </w:rPr>
      </w:pPr>
    </w:p>
    <w:p w14:paraId="1F3AA696">
      <w:pPr>
        <w:jc w:val="center"/>
        <w:rPr>
          <w:rFonts w:hint="default" w:ascii="Times New Roman" w:hAnsi="Times New Roman" w:eastAsia="仿宋" w:cs="Times New Roman"/>
          <w:color w:val="auto"/>
          <w:sz w:val="28"/>
          <w:szCs w:val="28"/>
          <w:shd w:val="clear" w:color="050000" w:fill="auto"/>
        </w:rPr>
      </w:pPr>
    </w:p>
    <w:p w14:paraId="75F38609">
      <w:pPr>
        <w:jc w:val="both"/>
        <w:rPr>
          <w:rFonts w:hint="default" w:ascii="Times New Roman" w:hAnsi="Times New Roman" w:eastAsia="仿宋" w:cs="Times New Roman"/>
          <w:b/>
          <w:color w:val="auto"/>
          <w:sz w:val="72"/>
          <w:szCs w:val="72"/>
          <w:shd w:val="clear" w:color="060000" w:fill="auto"/>
          <w:lang w:val="en-US" w:eastAsia="zh-CN"/>
        </w:rPr>
      </w:pPr>
    </w:p>
    <w:p w14:paraId="615FD7E1">
      <w:pPr>
        <w:jc w:val="center"/>
        <w:rPr>
          <w:rFonts w:hint="default" w:ascii="Times New Roman" w:hAnsi="Times New Roman" w:eastAsia="仿宋" w:cs="Times New Roman"/>
          <w:b/>
          <w:color w:val="auto"/>
          <w:sz w:val="72"/>
          <w:szCs w:val="72"/>
          <w:shd w:val="clear" w:color="060000" w:fill="auto"/>
          <w:lang w:val="en-US" w:eastAsia="zh-CN"/>
        </w:rPr>
      </w:pPr>
    </w:p>
    <w:p w14:paraId="7B9645B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A6319E9">
      <w:pPr>
        <w:spacing w:line="360" w:lineRule="auto"/>
        <w:jc w:val="both"/>
        <w:rPr>
          <w:rFonts w:hint="default" w:ascii="Times New Roman" w:hAnsi="Times New Roman" w:eastAsia="仿宋" w:cs="Times New Roman"/>
          <w:b/>
          <w:bCs/>
          <w:caps/>
          <w:color w:val="auto"/>
          <w:sz w:val="36"/>
          <w:szCs w:val="36"/>
          <w:lang w:val="en-US" w:eastAsia="zh-CN"/>
        </w:rPr>
      </w:pPr>
    </w:p>
    <w:p w14:paraId="1544234D">
      <w:pPr>
        <w:spacing w:line="360" w:lineRule="auto"/>
        <w:jc w:val="both"/>
        <w:rPr>
          <w:rFonts w:hint="default" w:ascii="Times New Roman" w:hAnsi="Times New Roman" w:eastAsia="仿宋" w:cs="Times New Roman"/>
          <w:b/>
          <w:bCs/>
          <w:caps/>
          <w:color w:val="auto"/>
          <w:sz w:val="36"/>
          <w:szCs w:val="36"/>
          <w:lang w:val="en-US" w:eastAsia="zh-CN"/>
        </w:rPr>
      </w:pPr>
    </w:p>
    <w:p w14:paraId="635A6F6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627E1216">
      <w:pPr>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7A7294B4">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053B523">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ED3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6C992EF7">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007B5B4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08E812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46ECCC9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1653F00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D20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E434BA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6BE78FCA">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5E388A1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FF9141D">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FD550AA">
            <w:pPr>
              <w:snapToGrid w:val="0"/>
              <w:spacing w:line="540" w:lineRule="exact"/>
              <w:rPr>
                <w:rFonts w:hint="default" w:ascii="Times New Roman" w:hAnsi="Times New Roman" w:eastAsia="仿宋" w:cs="Times New Roman"/>
                <w:color w:val="auto"/>
                <w:sz w:val="22"/>
                <w:szCs w:val="22"/>
                <w:highlight w:val="none"/>
              </w:rPr>
            </w:pPr>
          </w:p>
        </w:tc>
      </w:tr>
      <w:tr w14:paraId="5B94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54A7779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16C3A7F5">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49722F4D">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758269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D7BA64E">
            <w:pPr>
              <w:snapToGrid w:val="0"/>
              <w:spacing w:line="540" w:lineRule="exact"/>
              <w:rPr>
                <w:rFonts w:hint="default" w:ascii="Times New Roman" w:hAnsi="Times New Roman" w:eastAsia="仿宋" w:cs="Times New Roman"/>
                <w:color w:val="auto"/>
                <w:sz w:val="22"/>
                <w:szCs w:val="22"/>
                <w:highlight w:val="none"/>
              </w:rPr>
            </w:pPr>
          </w:p>
        </w:tc>
      </w:tr>
      <w:tr w14:paraId="70D7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9022D27">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1C7132DD">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7E29E1D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35F90D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C33F605">
            <w:pPr>
              <w:snapToGrid w:val="0"/>
              <w:spacing w:line="540" w:lineRule="exact"/>
              <w:rPr>
                <w:rFonts w:hint="default" w:ascii="Times New Roman" w:hAnsi="Times New Roman" w:eastAsia="仿宋" w:cs="Times New Roman"/>
                <w:color w:val="auto"/>
                <w:sz w:val="22"/>
                <w:szCs w:val="22"/>
                <w:highlight w:val="none"/>
              </w:rPr>
            </w:pPr>
          </w:p>
        </w:tc>
      </w:tr>
      <w:tr w14:paraId="2B5B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13D583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1A12DBAB">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2C6B9EE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7A3EDB9">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B1B3535">
            <w:pPr>
              <w:snapToGrid w:val="0"/>
              <w:spacing w:line="540" w:lineRule="exact"/>
              <w:rPr>
                <w:rFonts w:hint="default" w:ascii="Times New Roman" w:hAnsi="Times New Roman" w:eastAsia="仿宋" w:cs="Times New Roman"/>
                <w:color w:val="auto"/>
                <w:sz w:val="22"/>
                <w:szCs w:val="22"/>
                <w:highlight w:val="none"/>
              </w:rPr>
            </w:pPr>
          </w:p>
        </w:tc>
      </w:tr>
      <w:tr w14:paraId="0C3B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50DBA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58EEC693">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3391F743">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DB7E15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6F63FE8">
            <w:pPr>
              <w:snapToGrid w:val="0"/>
              <w:spacing w:line="540" w:lineRule="exact"/>
              <w:rPr>
                <w:rFonts w:hint="default" w:ascii="Times New Roman" w:hAnsi="Times New Roman" w:eastAsia="仿宋" w:cs="Times New Roman"/>
                <w:color w:val="auto"/>
                <w:sz w:val="22"/>
                <w:szCs w:val="22"/>
                <w:highlight w:val="none"/>
              </w:rPr>
            </w:pPr>
          </w:p>
        </w:tc>
      </w:tr>
      <w:tr w14:paraId="1CCF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73F2DC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518B864A">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744ACCC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EE1199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C0AC7D8">
            <w:pPr>
              <w:snapToGrid w:val="0"/>
              <w:spacing w:line="540" w:lineRule="exact"/>
              <w:rPr>
                <w:rFonts w:hint="default" w:ascii="Times New Roman" w:hAnsi="Times New Roman" w:eastAsia="仿宋" w:cs="Times New Roman"/>
                <w:color w:val="auto"/>
                <w:sz w:val="22"/>
                <w:szCs w:val="22"/>
                <w:highlight w:val="none"/>
              </w:rPr>
            </w:pPr>
          </w:p>
        </w:tc>
      </w:tr>
      <w:tr w14:paraId="2FE9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D85D93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11AC6EEB">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专项</w:t>
            </w:r>
            <w:r>
              <w:rPr>
                <w:rFonts w:hint="default" w:ascii="Times New Roman" w:hAnsi="Times New Roman" w:eastAsia="仿宋" w:cs="Times New Roman"/>
                <w:color w:val="auto"/>
                <w:kern w:val="0"/>
                <w:sz w:val="22"/>
                <w:szCs w:val="22"/>
                <w:highlight w:val="none"/>
                <w:lang w:eastAsia="zh-CN"/>
              </w:rPr>
              <w:t>审计服务方案</w:t>
            </w:r>
          </w:p>
        </w:tc>
        <w:tc>
          <w:tcPr>
            <w:tcW w:w="1591" w:type="dxa"/>
            <w:vAlign w:val="center"/>
          </w:tcPr>
          <w:p w14:paraId="0E154D8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E8DB72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AF2958">
            <w:pPr>
              <w:snapToGrid w:val="0"/>
              <w:spacing w:line="540" w:lineRule="exact"/>
              <w:rPr>
                <w:rFonts w:hint="default" w:ascii="Times New Roman" w:hAnsi="Times New Roman" w:eastAsia="仿宋" w:cs="Times New Roman"/>
                <w:color w:val="auto"/>
                <w:sz w:val="22"/>
                <w:szCs w:val="22"/>
                <w:highlight w:val="none"/>
              </w:rPr>
            </w:pPr>
          </w:p>
        </w:tc>
      </w:tr>
      <w:tr w14:paraId="5781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E5C111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5B05DE27">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审计服务业绩</w:t>
            </w:r>
          </w:p>
        </w:tc>
        <w:tc>
          <w:tcPr>
            <w:tcW w:w="1591" w:type="dxa"/>
            <w:vAlign w:val="center"/>
          </w:tcPr>
          <w:p w14:paraId="42304F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24ADC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DFA5246">
            <w:pPr>
              <w:snapToGrid w:val="0"/>
              <w:spacing w:line="540" w:lineRule="exact"/>
              <w:rPr>
                <w:rFonts w:hint="default" w:ascii="Times New Roman" w:hAnsi="Times New Roman" w:eastAsia="仿宋" w:cs="Times New Roman"/>
                <w:color w:val="auto"/>
                <w:sz w:val="22"/>
                <w:szCs w:val="22"/>
                <w:highlight w:val="none"/>
              </w:rPr>
            </w:pPr>
          </w:p>
        </w:tc>
      </w:tr>
      <w:tr w14:paraId="01E3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exact"/>
        </w:trPr>
        <w:tc>
          <w:tcPr>
            <w:tcW w:w="758" w:type="dxa"/>
            <w:vAlign w:val="center"/>
          </w:tcPr>
          <w:p w14:paraId="0AC669C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3A4F8C3F">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审计服务效率承诺</w:t>
            </w:r>
          </w:p>
        </w:tc>
        <w:tc>
          <w:tcPr>
            <w:tcW w:w="1591" w:type="dxa"/>
            <w:vAlign w:val="center"/>
          </w:tcPr>
          <w:p w14:paraId="594D101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FE684F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73A734B">
            <w:pPr>
              <w:snapToGrid w:val="0"/>
              <w:spacing w:line="540" w:lineRule="exact"/>
              <w:rPr>
                <w:rFonts w:hint="default" w:ascii="Times New Roman" w:hAnsi="Times New Roman" w:eastAsia="仿宋" w:cs="Times New Roman"/>
                <w:color w:val="auto"/>
                <w:sz w:val="22"/>
                <w:szCs w:val="22"/>
                <w:highlight w:val="none"/>
              </w:rPr>
            </w:pPr>
          </w:p>
        </w:tc>
      </w:tr>
      <w:tr w14:paraId="0735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362D77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220274B6">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91" w:type="dxa"/>
            <w:vAlign w:val="center"/>
          </w:tcPr>
          <w:p w14:paraId="3C97A2D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2AAE361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1C261E7">
            <w:pPr>
              <w:snapToGrid w:val="0"/>
              <w:spacing w:line="540" w:lineRule="exact"/>
              <w:rPr>
                <w:rFonts w:hint="default" w:ascii="Times New Roman" w:hAnsi="Times New Roman" w:eastAsia="仿宋" w:cs="Times New Roman"/>
                <w:color w:val="auto"/>
                <w:sz w:val="22"/>
                <w:szCs w:val="22"/>
                <w:highlight w:val="none"/>
              </w:rPr>
            </w:pPr>
          </w:p>
        </w:tc>
      </w:tr>
    </w:tbl>
    <w:p w14:paraId="21636AB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C9358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9127E38">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4F8FF6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1F01CF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169E254">
      <w:pPr>
        <w:pStyle w:val="24"/>
        <w:rPr>
          <w:rFonts w:hint="default" w:ascii="Times New Roman" w:hAnsi="Times New Roman" w:eastAsia="仿宋" w:cs="Times New Roman"/>
          <w:color w:val="auto"/>
          <w:sz w:val="24"/>
          <w:szCs w:val="24"/>
        </w:rPr>
      </w:pPr>
    </w:p>
    <w:p w14:paraId="10BDDB12">
      <w:pPr>
        <w:pStyle w:val="25"/>
        <w:rPr>
          <w:rFonts w:hint="default" w:ascii="Times New Roman" w:hAnsi="Times New Roman" w:eastAsia="仿宋" w:cs="Times New Roman"/>
          <w:color w:val="auto"/>
          <w:sz w:val="24"/>
          <w:szCs w:val="24"/>
        </w:rPr>
      </w:pPr>
    </w:p>
    <w:p w14:paraId="55FDD7BC">
      <w:pPr>
        <w:rPr>
          <w:rFonts w:hint="default" w:ascii="Times New Roman" w:hAnsi="Times New Roman" w:eastAsia="仿宋" w:cs="Times New Roman"/>
          <w:color w:val="auto"/>
          <w:sz w:val="24"/>
          <w:szCs w:val="24"/>
        </w:rPr>
      </w:pPr>
    </w:p>
    <w:p w14:paraId="5B505BC9">
      <w:pPr>
        <w:pStyle w:val="24"/>
        <w:rPr>
          <w:rFonts w:hint="default" w:ascii="Times New Roman" w:hAnsi="Times New Roman" w:eastAsia="仿宋" w:cs="Times New Roman"/>
          <w:color w:val="auto"/>
          <w:sz w:val="24"/>
          <w:szCs w:val="24"/>
        </w:rPr>
      </w:pPr>
    </w:p>
    <w:p w14:paraId="0A145D53">
      <w:pPr>
        <w:pStyle w:val="25"/>
        <w:rPr>
          <w:rFonts w:hint="default" w:ascii="Times New Roman" w:hAnsi="Times New Roman" w:eastAsia="仿宋" w:cs="Times New Roman"/>
          <w:color w:val="auto"/>
          <w:sz w:val="24"/>
          <w:szCs w:val="24"/>
        </w:rPr>
      </w:pPr>
    </w:p>
    <w:p w14:paraId="6063EE3D">
      <w:pPr>
        <w:pStyle w:val="18"/>
        <w:rPr>
          <w:rFonts w:hint="default" w:ascii="Times New Roman" w:hAnsi="Times New Roman" w:eastAsia="仿宋" w:cs="Times New Roman"/>
          <w:color w:val="auto"/>
          <w:sz w:val="24"/>
          <w:szCs w:val="24"/>
        </w:rPr>
      </w:pPr>
    </w:p>
    <w:p w14:paraId="7821F0FC">
      <w:pPr>
        <w:pStyle w:val="25"/>
        <w:ind w:left="0" w:leftChars="0" w:firstLine="0" w:firstLineChars="0"/>
        <w:rPr>
          <w:rFonts w:hint="default" w:ascii="Times New Roman" w:hAnsi="Times New Roman" w:eastAsia="仿宋" w:cs="Times New Roman"/>
          <w:color w:val="auto"/>
          <w:sz w:val="24"/>
          <w:szCs w:val="24"/>
        </w:rPr>
      </w:pPr>
    </w:p>
    <w:p w14:paraId="2B940206">
      <w:pPr>
        <w:rPr>
          <w:rFonts w:hint="default" w:ascii="Times New Roman" w:hAnsi="Times New Roman" w:cs="Times New Roman"/>
        </w:rPr>
      </w:pPr>
    </w:p>
    <w:p w14:paraId="3DAFB982">
      <w:pPr>
        <w:pStyle w:val="12"/>
        <w:spacing w:line="360" w:lineRule="auto"/>
        <w:jc w:val="both"/>
        <w:rPr>
          <w:rFonts w:hint="default" w:ascii="Times New Roman" w:hAnsi="Times New Roman" w:eastAsia="仿宋" w:cs="Times New Roman"/>
          <w:b/>
          <w:snapToGrid w:val="0"/>
          <w:color w:val="auto"/>
          <w:kern w:val="0"/>
          <w:sz w:val="36"/>
          <w:szCs w:val="36"/>
        </w:rPr>
      </w:pPr>
    </w:p>
    <w:p w14:paraId="519F7969">
      <w:pPr>
        <w:pStyle w:val="12"/>
        <w:spacing w:line="360" w:lineRule="auto"/>
        <w:jc w:val="center"/>
        <w:rPr>
          <w:rFonts w:hint="default" w:ascii="Times New Roman" w:hAnsi="Times New Roman" w:eastAsia="仿宋" w:cs="Times New Roman"/>
          <w:b/>
          <w:snapToGrid w:val="0"/>
          <w:color w:val="auto"/>
          <w:kern w:val="0"/>
          <w:sz w:val="36"/>
          <w:szCs w:val="36"/>
        </w:rPr>
      </w:pPr>
    </w:p>
    <w:p w14:paraId="37D4F328">
      <w:pPr>
        <w:pStyle w:val="12"/>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68ECCF52">
      <w:pPr>
        <w:pStyle w:val="12"/>
        <w:spacing w:line="360" w:lineRule="auto"/>
        <w:jc w:val="center"/>
        <w:rPr>
          <w:rFonts w:hint="default" w:ascii="Times New Roman" w:hAnsi="Times New Roman" w:eastAsia="仿宋" w:cs="Times New Roman"/>
          <w:b/>
          <w:snapToGrid w:val="0"/>
          <w:color w:val="auto"/>
          <w:kern w:val="0"/>
          <w:sz w:val="24"/>
          <w:szCs w:val="24"/>
        </w:rPr>
      </w:pPr>
    </w:p>
    <w:p w14:paraId="4B032788">
      <w:pPr>
        <w:bidi w:val="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Cs w:val="24"/>
        </w:rPr>
        <w:t>项目名称：</w:t>
      </w:r>
      <w:r>
        <w:rPr>
          <w:rFonts w:hint="default" w:ascii="Times New Roman" w:hAnsi="Times New Roman" w:eastAsia="仿宋" w:cs="Times New Roman"/>
          <w:color w:val="auto"/>
          <w:szCs w:val="24"/>
          <w:lang w:val="en-US" w:eastAsia="zh-CN"/>
        </w:rPr>
        <w:t>许昌市城投发展集团有限公司下属公司2025年度专项审计服务会计师事务所比选项目</w:t>
      </w:r>
    </w:p>
    <w:tbl>
      <w:tblPr>
        <w:tblStyle w:val="26"/>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14:paraId="72432634">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9CB958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0D24A35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A26F00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B88BF7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67C9934">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7A10F40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14:paraId="23F763A7">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许昌市城投发展集团有限公司下属公司2025年度专项审计服务会计师事务所比选项目</w:t>
            </w:r>
          </w:p>
        </w:tc>
        <w:tc>
          <w:tcPr>
            <w:tcW w:w="2615" w:type="dxa"/>
            <w:tcBorders>
              <w:top w:val="single" w:color="auto" w:sz="6" w:space="0"/>
              <w:left w:val="single" w:color="auto" w:sz="6" w:space="0"/>
              <w:bottom w:val="single" w:color="auto" w:sz="6" w:space="0"/>
              <w:right w:val="single" w:color="auto" w:sz="6" w:space="0"/>
            </w:tcBorders>
            <w:vAlign w:val="center"/>
          </w:tcPr>
          <w:p w14:paraId="3803E2F6">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zh-CN" w:eastAsia="zh-CN"/>
              </w:rPr>
              <w:t>大写：</w:t>
            </w:r>
            <w:r>
              <w:rPr>
                <w:rFonts w:hint="default" w:ascii="Times New Roman" w:hAnsi="Times New Roman" w:eastAsia="仿宋" w:cs="Times New Roman"/>
                <w:b/>
                <w:bCs/>
                <w:color w:val="auto"/>
                <w:sz w:val="30"/>
                <w:szCs w:val="30"/>
                <w:highlight w:val="none"/>
                <w:lang w:val="en-US" w:eastAsia="zh-CN"/>
              </w:rPr>
              <w:t xml:space="preserve">             </w:t>
            </w:r>
          </w:p>
          <w:p w14:paraId="0B35DDBA">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zh-CN" w:eastAsia="zh-CN"/>
              </w:rPr>
              <w:t>小写：</w:t>
            </w:r>
            <w:r>
              <w:rPr>
                <w:rFonts w:hint="default" w:ascii="Times New Roman" w:hAnsi="Times New Roman" w:eastAsia="仿宋" w:cs="Times New Roman"/>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5AEE353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820F27E">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62376DC9">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608EE61">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CB405E2">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03B5CF7C">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2718442A">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D4A6A7E">
      <w:pPr>
        <w:pStyle w:val="24"/>
        <w:rPr>
          <w:rFonts w:hint="default" w:ascii="Times New Roman" w:hAnsi="Times New Roman" w:eastAsia="仿宋" w:cs="Times New Roman"/>
          <w:color w:val="auto"/>
          <w:sz w:val="24"/>
          <w:szCs w:val="24"/>
          <w:lang w:val="zh-CN"/>
        </w:rPr>
      </w:pPr>
    </w:p>
    <w:p w14:paraId="2809A42B">
      <w:pPr>
        <w:spacing w:line="480" w:lineRule="exact"/>
        <w:jc w:val="center"/>
        <w:rPr>
          <w:rFonts w:hint="default" w:ascii="Times New Roman" w:hAnsi="Times New Roman" w:eastAsia="仿宋" w:cs="Times New Roman"/>
          <w:b/>
          <w:bCs/>
          <w:color w:val="auto"/>
          <w:sz w:val="24"/>
          <w:szCs w:val="24"/>
        </w:rPr>
      </w:pPr>
    </w:p>
    <w:p w14:paraId="63E0CDA1">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00AF0F2F">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78BC1A9C">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6F8D3B0A">
      <w:pPr>
        <w:pStyle w:val="12"/>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5878DD29">
      <w:pPr>
        <w:jc w:val="left"/>
        <w:rPr>
          <w:rFonts w:hint="default" w:ascii="Times New Roman" w:hAnsi="Times New Roman" w:eastAsia="仿宋" w:cs="Times New Roman"/>
          <w:b/>
          <w:bCs/>
          <w:color w:val="auto"/>
          <w:sz w:val="24"/>
          <w:szCs w:val="24"/>
        </w:rPr>
      </w:pPr>
    </w:p>
    <w:p w14:paraId="687F50B4">
      <w:pPr>
        <w:jc w:val="center"/>
        <w:rPr>
          <w:rFonts w:hint="default" w:ascii="Times New Roman" w:hAnsi="Times New Roman" w:eastAsia="仿宋" w:cs="Times New Roman"/>
          <w:b/>
          <w:bCs/>
          <w:color w:val="auto"/>
          <w:sz w:val="24"/>
          <w:szCs w:val="24"/>
          <w:lang w:val="en-US" w:eastAsia="zh-CN"/>
        </w:rPr>
      </w:pPr>
    </w:p>
    <w:p w14:paraId="1EB7B73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附营业执照、执业证书等</w:t>
      </w:r>
    </w:p>
    <w:p w14:paraId="1340A7B8">
      <w:pPr>
        <w:jc w:val="left"/>
        <w:rPr>
          <w:rFonts w:hint="default" w:ascii="Times New Roman" w:hAnsi="Times New Roman" w:eastAsia="仿宋" w:cs="Times New Roman"/>
          <w:b/>
          <w:bCs/>
          <w:color w:val="auto"/>
          <w:sz w:val="32"/>
          <w:szCs w:val="32"/>
        </w:rPr>
      </w:pPr>
    </w:p>
    <w:p w14:paraId="0FAFCF61">
      <w:pPr>
        <w:jc w:val="left"/>
        <w:rPr>
          <w:rFonts w:hint="default" w:ascii="Times New Roman" w:hAnsi="Times New Roman" w:eastAsia="仿宋" w:cs="Times New Roman"/>
          <w:b/>
          <w:bCs/>
          <w:color w:val="auto"/>
          <w:sz w:val="32"/>
          <w:szCs w:val="32"/>
        </w:rPr>
      </w:pPr>
    </w:p>
    <w:p w14:paraId="35FE2D97">
      <w:pPr>
        <w:jc w:val="left"/>
        <w:rPr>
          <w:rFonts w:hint="default" w:ascii="Times New Roman" w:hAnsi="Times New Roman" w:eastAsia="仿宋" w:cs="Times New Roman"/>
          <w:b/>
          <w:bCs/>
          <w:color w:val="auto"/>
          <w:sz w:val="32"/>
          <w:szCs w:val="32"/>
        </w:rPr>
      </w:pPr>
    </w:p>
    <w:p w14:paraId="4F098198">
      <w:pPr>
        <w:jc w:val="center"/>
        <w:rPr>
          <w:rFonts w:hint="default" w:ascii="Times New Roman" w:hAnsi="Times New Roman" w:eastAsia="仿宋" w:cs="Times New Roman"/>
          <w:b/>
          <w:bCs/>
          <w:color w:val="auto"/>
          <w:sz w:val="32"/>
          <w:szCs w:val="32"/>
          <w:lang w:val="en-US" w:eastAsia="zh-CN"/>
        </w:rPr>
      </w:pPr>
    </w:p>
    <w:p w14:paraId="2FB026BF">
      <w:pPr>
        <w:jc w:val="center"/>
        <w:rPr>
          <w:rFonts w:hint="default" w:ascii="Times New Roman" w:hAnsi="Times New Roman" w:eastAsia="仿宋" w:cs="Times New Roman"/>
          <w:b/>
          <w:bCs/>
          <w:color w:val="auto"/>
          <w:sz w:val="32"/>
          <w:szCs w:val="32"/>
          <w:lang w:val="en-US" w:eastAsia="zh-CN"/>
        </w:rPr>
      </w:pPr>
    </w:p>
    <w:p w14:paraId="2A7B7BFD">
      <w:pPr>
        <w:jc w:val="center"/>
        <w:rPr>
          <w:rFonts w:hint="default" w:ascii="Times New Roman" w:hAnsi="Times New Roman" w:eastAsia="仿宋" w:cs="Times New Roman"/>
          <w:b/>
          <w:bCs/>
          <w:color w:val="auto"/>
          <w:sz w:val="32"/>
          <w:szCs w:val="32"/>
          <w:lang w:val="en-US" w:eastAsia="zh-CN"/>
        </w:rPr>
      </w:pPr>
    </w:p>
    <w:p w14:paraId="3D40D3A9">
      <w:pPr>
        <w:jc w:val="left"/>
        <w:rPr>
          <w:rFonts w:hint="default" w:ascii="Times New Roman" w:hAnsi="Times New Roman" w:eastAsia="仿宋" w:cs="Times New Roman"/>
          <w:b/>
          <w:bCs/>
          <w:color w:val="auto"/>
          <w:sz w:val="32"/>
          <w:szCs w:val="32"/>
        </w:rPr>
      </w:pPr>
    </w:p>
    <w:p w14:paraId="3A66474F">
      <w:pPr>
        <w:jc w:val="both"/>
        <w:rPr>
          <w:rFonts w:hint="default" w:ascii="Times New Roman" w:hAnsi="Times New Roman" w:eastAsia="仿宋" w:cs="Times New Roman"/>
          <w:b/>
          <w:bCs/>
          <w:color w:val="auto"/>
          <w:sz w:val="32"/>
          <w:szCs w:val="32"/>
          <w:lang w:val="en-US" w:eastAsia="zh-CN"/>
        </w:rPr>
      </w:pPr>
    </w:p>
    <w:p w14:paraId="2574FE31">
      <w:pPr>
        <w:pStyle w:val="3"/>
        <w:numPr>
          <w:ilvl w:val="1"/>
          <w:numId w:val="0"/>
        </w:numPr>
        <w:rPr>
          <w:rFonts w:hint="default" w:ascii="Times New Roman" w:hAnsi="Times New Roman" w:cs="Times New Roman"/>
        </w:rPr>
      </w:pPr>
    </w:p>
    <w:p w14:paraId="77C820FD">
      <w:pPr>
        <w:jc w:val="left"/>
        <w:rPr>
          <w:rFonts w:hint="default" w:ascii="Times New Roman" w:hAnsi="Times New Roman" w:eastAsia="仿宋" w:cs="Times New Roman"/>
          <w:b/>
          <w:bCs/>
          <w:color w:val="auto"/>
          <w:sz w:val="24"/>
          <w:szCs w:val="24"/>
        </w:rPr>
      </w:pPr>
    </w:p>
    <w:p w14:paraId="186429F9">
      <w:pPr>
        <w:jc w:val="both"/>
        <w:rPr>
          <w:rFonts w:hint="default" w:ascii="Times New Roman" w:hAnsi="Times New Roman" w:eastAsia="仿宋" w:cs="Times New Roman"/>
          <w:b/>
          <w:bCs/>
          <w:color w:val="auto"/>
          <w:sz w:val="32"/>
          <w:szCs w:val="32"/>
          <w:lang w:val="en-US" w:eastAsia="zh-CN"/>
        </w:rPr>
      </w:pPr>
    </w:p>
    <w:p w14:paraId="1730852E">
      <w:pPr>
        <w:jc w:val="center"/>
        <w:rPr>
          <w:rFonts w:hint="default" w:ascii="Times New Roman" w:hAnsi="Times New Roman" w:eastAsia="仿宋" w:cs="Times New Roman"/>
          <w:b/>
          <w:bCs/>
          <w:color w:val="auto"/>
          <w:sz w:val="32"/>
          <w:szCs w:val="32"/>
          <w:lang w:val="en-US" w:eastAsia="zh-CN"/>
        </w:rPr>
      </w:pPr>
    </w:p>
    <w:p w14:paraId="7F504590">
      <w:pPr>
        <w:jc w:val="center"/>
        <w:rPr>
          <w:rFonts w:hint="default" w:ascii="Times New Roman" w:hAnsi="Times New Roman" w:eastAsia="仿宋" w:cs="Times New Roman"/>
          <w:b/>
          <w:bCs/>
          <w:color w:val="auto"/>
          <w:sz w:val="32"/>
          <w:szCs w:val="32"/>
          <w:lang w:val="en-US" w:eastAsia="zh-CN"/>
        </w:rPr>
      </w:pPr>
    </w:p>
    <w:p w14:paraId="435D9DC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7D6B4D35">
      <w:pPr>
        <w:autoSpaceDE w:val="0"/>
        <w:autoSpaceDN w:val="0"/>
        <w:adjustRightInd w:val="0"/>
        <w:spacing w:line="360" w:lineRule="auto"/>
        <w:jc w:val="center"/>
        <w:rPr>
          <w:rFonts w:hint="default" w:ascii="Times New Roman" w:hAnsi="Times New Roman" w:eastAsia="仿宋" w:cs="Times New Roman"/>
          <w:b/>
          <w:bCs/>
          <w:sz w:val="24"/>
          <w:szCs w:val="24"/>
        </w:rPr>
      </w:pPr>
    </w:p>
    <w:p w14:paraId="4C1F0E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4CC7A51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单位名称: </w:t>
      </w:r>
      <w:r>
        <w:rPr>
          <w:rFonts w:hint="default" w:ascii="Times New Roman" w:hAnsi="Times New Roman" w:eastAsia="仿宋" w:cs="Times New Roman"/>
          <w:color w:val="000000"/>
          <w:kern w:val="0"/>
          <w:sz w:val="28"/>
          <w:szCs w:val="28"/>
          <w:u w:val="single"/>
          <w:lang w:val="en-US" w:eastAsia="zh-CN" w:bidi="ar"/>
        </w:rPr>
        <w:t xml:space="preserve">                  </w:t>
      </w:r>
      <w:r>
        <w:rPr>
          <w:rFonts w:hint="default" w:ascii="Times New Roman" w:hAnsi="Times New Roman" w:eastAsia="仿宋" w:cs="Times New Roman"/>
          <w:color w:val="000000"/>
          <w:kern w:val="0"/>
          <w:sz w:val="28"/>
          <w:szCs w:val="28"/>
          <w:lang w:val="en-US" w:eastAsia="zh-CN" w:bidi="ar"/>
        </w:rPr>
        <w:t xml:space="preserve"> </w:t>
      </w:r>
    </w:p>
    <w:p w14:paraId="2FF647C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u w:val="single"/>
          <w:lang w:val="en-US" w:eastAsia="zh-CN" w:bidi="ar"/>
        </w:rPr>
      </w:pPr>
      <w:r>
        <w:rPr>
          <w:rFonts w:hint="default" w:ascii="Times New Roman" w:hAnsi="Times New Roman" w:eastAsia="仿宋" w:cs="Times New Roman"/>
          <w:color w:val="000000"/>
          <w:kern w:val="0"/>
          <w:sz w:val="28"/>
          <w:szCs w:val="28"/>
          <w:lang w:val="en-US" w:eastAsia="zh-CN" w:bidi="ar"/>
        </w:rPr>
        <w:t xml:space="preserve">统一社会信用代码（身份证号码）: </w:t>
      </w:r>
      <w:r>
        <w:rPr>
          <w:rFonts w:hint="default" w:ascii="Times New Roman" w:hAnsi="Times New Roman" w:eastAsia="仿宋" w:cs="Times New Roman"/>
          <w:color w:val="000000"/>
          <w:kern w:val="0"/>
          <w:sz w:val="28"/>
          <w:szCs w:val="28"/>
          <w:u w:val="single"/>
          <w:lang w:val="en-US" w:eastAsia="zh-CN" w:bidi="ar"/>
        </w:rPr>
        <w:t xml:space="preserve">           </w:t>
      </w:r>
    </w:p>
    <w:p w14:paraId="5C01F6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法定代表人（负责人）:  </w:t>
      </w:r>
      <w:r>
        <w:rPr>
          <w:rFonts w:hint="default" w:ascii="Times New Roman" w:hAnsi="Times New Roman" w:eastAsia="仿宋" w:cs="Times New Roman"/>
          <w:color w:val="000000"/>
          <w:kern w:val="0"/>
          <w:sz w:val="28"/>
          <w:szCs w:val="28"/>
          <w:u w:val="single"/>
          <w:lang w:val="en-US" w:eastAsia="zh-CN" w:bidi="ar"/>
        </w:rPr>
        <w:t xml:space="preserve">                    </w:t>
      </w:r>
    </w:p>
    <w:p w14:paraId="24FA926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联系地址和电话：</w:t>
      </w:r>
      <w:r>
        <w:rPr>
          <w:rFonts w:hint="default" w:ascii="Times New Roman" w:hAnsi="Times New Roman" w:eastAsia="仿宋" w:cs="Times New Roman"/>
          <w:color w:val="000000"/>
          <w:kern w:val="0"/>
          <w:sz w:val="28"/>
          <w:szCs w:val="28"/>
          <w:u w:val="single"/>
          <w:lang w:val="en-US" w:eastAsia="zh-CN" w:bidi="ar"/>
        </w:rPr>
        <w:t xml:space="preserve">                           </w:t>
      </w:r>
    </w:p>
    <w:p w14:paraId="090DA4B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DD3060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和招标文件、本承诺书的条件： </w:t>
      </w:r>
    </w:p>
    <w:p w14:paraId="2BA1EF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7A1B67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5437C3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（三）未曾作出虚假承诺；</w:t>
      </w:r>
    </w:p>
    <w:p w14:paraId="4E8D97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（四）符合法律、行政法规规定的其他条件。</w:t>
      </w:r>
    </w:p>
    <w:p w14:paraId="1E9D779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（五）未被中国银行间市场交易商协会取消、暂停会员资格或出现被处罚等影响本次债务融资工具审计服务能力的情况。</w:t>
      </w:r>
    </w:p>
    <w:p w14:paraId="7EFE9AA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城投集团及子公司的所有招标（比选）活动。 </w:t>
      </w:r>
    </w:p>
    <w:p w14:paraId="0FE45E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投标人（盖章）: </w:t>
      </w:r>
    </w:p>
    <w:p w14:paraId="18EBDC0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日期： 年 月 日</w:t>
      </w:r>
    </w:p>
    <w:p w14:paraId="08E5505C">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53593D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p>
    <w:p w14:paraId="6CF1AA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3BC0F4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8C6EE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2A4BC2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BFB3AE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47ECC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2B9AE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CB27B30">
      <w:pPr>
        <w:rPr>
          <w:rFonts w:hint="default" w:ascii="Times New Roman" w:hAnsi="Times New Roman" w:eastAsia="仿宋" w:cs="Times New Roman"/>
          <w:lang w:val="zh-CN"/>
        </w:rPr>
      </w:pPr>
    </w:p>
    <w:p w14:paraId="1492176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F613A4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5BD1B5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27CE0F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549162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F122B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F3A80F9">
      <w:pPr>
        <w:jc w:val="center"/>
        <w:rPr>
          <w:rFonts w:hint="default" w:ascii="Times New Roman" w:hAnsi="Times New Roman" w:eastAsia="仿宋" w:cs="Times New Roman"/>
          <w:b/>
          <w:bCs/>
          <w:color w:val="auto"/>
          <w:sz w:val="32"/>
          <w:szCs w:val="32"/>
          <w:lang w:val="en-US" w:eastAsia="zh-CN"/>
        </w:rPr>
      </w:pPr>
    </w:p>
    <w:p w14:paraId="0A14B5E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4.3廉洁自律承诺书</w:t>
      </w:r>
    </w:p>
    <w:p w14:paraId="15051D5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5396AC2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kern w:val="0"/>
          <w:sz w:val="32"/>
          <w:szCs w:val="32"/>
          <w:lang w:val="en-US" w:eastAsia="zh-CN" w:bidi="ar-SA"/>
        </w:rPr>
        <w:t>许昌市城投发展集团有限公司</w:t>
      </w:r>
    </w:p>
    <w:p w14:paraId="2F750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EC8562E">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3E76D3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0320E5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CAEE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6159E88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50BA614">
      <w:pPr>
        <w:ind w:firstLine="6400" w:firstLineChars="2000"/>
        <w:rPr>
          <w:rFonts w:hint="default" w:ascii="Times New Roman" w:hAnsi="Times New Roman" w:eastAsia="仿宋_GB2312" w:cs="Times New Roman"/>
          <w:sz w:val="32"/>
          <w:szCs w:val="32"/>
        </w:rPr>
      </w:pPr>
    </w:p>
    <w:p w14:paraId="1165897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0FA4076">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6A68562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632CBDA">
      <w:pPr>
        <w:jc w:val="center"/>
        <w:rPr>
          <w:rFonts w:hint="default" w:ascii="Times New Roman" w:hAnsi="Times New Roman" w:eastAsia="仿宋" w:cs="Times New Roman"/>
          <w:b/>
          <w:bCs/>
          <w:color w:val="auto"/>
          <w:sz w:val="32"/>
          <w:szCs w:val="32"/>
          <w:highlight w:val="none"/>
          <w:lang w:val="en-US" w:eastAsia="zh-CN"/>
        </w:rPr>
      </w:pPr>
    </w:p>
    <w:p w14:paraId="5A380A57">
      <w:pPr>
        <w:jc w:val="center"/>
        <w:rPr>
          <w:rFonts w:hint="default" w:ascii="Times New Roman" w:hAnsi="Times New Roman" w:eastAsia="仿宋" w:cs="Times New Roman"/>
          <w:b/>
          <w:bCs/>
          <w:color w:val="auto"/>
          <w:sz w:val="32"/>
          <w:szCs w:val="32"/>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服务承诺</w:t>
      </w:r>
      <w:r>
        <w:rPr>
          <w:rFonts w:hint="default" w:ascii="Times New Roman" w:hAnsi="Times New Roman" w:eastAsia="仿宋" w:cs="Times New Roman"/>
          <w:b/>
          <w:bCs/>
          <w:color w:val="auto"/>
          <w:sz w:val="32"/>
          <w:szCs w:val="32"/>
          <w:highlight w:val="none"/>
          <w:lang w:val="en-US" w:eastAsia="zh-CN"/>
        </w:rPr>
        <w:t>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61E563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根据融资需要，每年提供金融机构认可的财务报表及具有连贯性的连续年度审计报告；</w:t>
      </w:r>
    </w:p>
    <w:p w14:paraId="330011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对融资所需的财务报表提供科目明细及附注；</w:t>
      </w:r>
    </w:p>
    <w:p w14:paraId="7EEAB8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融资</w:t>
      </w:r>
      <w:r>
        <w:rPr>
          <w:rFonts w:hint="default" w:ascii="Times New Roman" w:hAnsi="Times New Roman" w:eastAsia="仿宋_GB2312" w:cs="Times New Roman"/>
          <w:sz w:val="32"/>
          <w:szCs w:val="32"/>
          <w:highlight w:val="none"/>
        </w:rPr>
        <w:t>过程中根据需要提供</w:t>
      </w:r>
      <w:r>
        <w:rPr>
          <w:rFonts w:hint="default" w:ascii="Times New Roman" w:hAnsi="Times New Roman" w:eastAsia="仿宋_GB2312" w:cs="Times New Roman"/>
          <w:sz w:val="32"/>
          <w:szCs w:val="32"/>
          <w:highlight w:val="none"/>
          <w:lang w:eastAsia="zh-CN"/>
        </w:rPr>
        <w:t>会计事项咨询</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10E9E028">
      <w:pPr>
        <w:pStyle w:val="3"/>
        <w:numPr>
          <w:ilvl w:val="1"/>
          <w:numId w:val="0"/>
        </w:numPr>
        <w:rPr>
          <w:rFonts w:hint="default" w:ascii="Times New Roman" w:hAnsi="Times New Roman" w:cs="Times New Roman"/>
          <w:lang w:val="zh-CN"/>
        </w:rPr>
      </w:pPr>
    </w:p>
    <w:p w14:paraId="243F30A1">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486AD64">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7AF1DCC">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F8D0A0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A79FB59">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1BCC18D">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463855F">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6704A53">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44C199F4">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56D436A8">
      <w:pPr>
        <w:pStyle w:val="12"/>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（投标人自行编制，需附项目团队人员会计从业资格证明文件）</w:t>
      </w:r>
    </w:p>
    <w:p w14:paraId="12244ACF">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C0A12FC">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45396DE">
      <w:pPr>
        <w:pStyle w:val="12"/>
        <w:spacing w:line="360" w:lineRule="auto"/>
        <w:jc w:val="center"/>
        <w:rPr>
          <w:rFonts w:hint="default" w:ascii="Times New Roman" w:hAnsi="Times New Roman" w:eastAsia="仿宋" w:cs="Times New Roman"/>
          <w:b/>
          <w:bCs/>
          <w:color w:val="auto"/>
          <w:sz w:val="28"/>
          <w:szCs w:val="28"/>
          <w:highlight w:val="none"/>
        </w:rPr>
      </w:pPr>
    </w:p>
    <w:p w14:paraId="2077C8D9">
      <w:pPr>
        <w:pStyle w:val="12"/>
        <w:spacing w:line="360" w:lineRule="auto"/>
        <w:jc w:val="center"/>
        <w:rPr>
          <w:rFonts w:hint="default" w:ascii="Times New Roman" w:hAnsi="Times New Roman" w:eastAsia="仿宋" w:cs="Times New Roman"/>
          <w:b/>
          <w:bCs/>
          <w:color w:val="auto"/>
          <w:sz w:val="28"/>
          <w:szCs w:val="28"/>
          <w:highlight w:val="none"/>
        </w:rPr>
      </w:pPr>
    </w:p>
    <w:p w14:paraId="6BFAC3CA">
      <w:pPr>
        <w:pStyle w:val="12"/>
        <w:spacing w:line="360" w:lineRule="auto"/>
        <w:jc w:val="center"/>
        <w:rPr>
          <w:rFonts w:hint="default" w:ascii="Times New Roman" w:hAnsi="Times New Roman" w:eastAsia="仿宋" w:cs="Times New Roman"/>
          <w:b/>
          <w:bCs/>
          <w:color w:val="auto"/>
          <w:sz w:val="28"/>
          <w:szCs w:val="28"/>
          <w:highlight w:val="none"/>
        </w:rPr>
      </w:pPr>
    </w:p>
    <w:p w14:paraId="6019CD5B">
      <w:pPr>
        <w:rPr>
          <w:rFonts w:hint="default" w:ascii="Times New Roman" w:hAnsi="Times New Roman" w:eastAsia="仿宋" w:cs="Times New Roman"/>
          <w:color w:val="auto"/>
          <w:sz w:val="20"/>
          <w:szCs w:val="18"/>
          <w:highlight w:val="none"/>
        </w:rPr>
      </w:pPr>
    </w:p>
    <w:p w14:paraId="40F80FE5">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6AC58AAA">
      <w:pPr>
        <w:pStyle w:val="12"/>
        <w:spacing w:line="360" w:lineRule="auto"/>
        <w:jc w:val="center"/>
        <w:rPr>
          <w:rFonts w:hint="default" w:ascii="Times New Roman" w:hAnsi="Times New Roman" w:eastAsia="仿宋" w:cs="Times New Roman"/>
          <w:b/>
          <w:bCs/>
          <w:color w:val="auto"/>
          <w:sz w:val="28"/>
          <w:szCs w:val="28"/>
          <w:highlight w:val="none"/>
        </w:rPr>
      </w:pPr>
    </w:p>
    <w:p w14:paraId="2CCAA72B">
      <w:pPr>
        <w:pStyle w:val="12"/>
        <w:spacing w:line="360" w:lineRule="auto"/>
        <w:jc w:val="both"/>
        <w:rPr>
          <w:rFonts w:hint="default" w:ascii="Times New Roman" w:hAnsi="Times New Roman" w:eastAsia="仿宋" w:cs="Times New Roman"/>
          <w:b/>
          <w:bCs/>
          <w:color w:val="auto"/>
          <w:sz w:val="28"/>
          <w:szCs w:val="28"/>
          <w:highlight w:val="none"/>
        </w:rPr>
      </w:pPr>
    </w:p>
    <w:p w14:paraId="73895091">
      <w:pPr>
        <w:pStyle w:val="12"/>
        <w:spacing w:line="360" w:lineRule="auto"/>
        <w:jc w:val="both"/>
        <w:rPr>
          <w:rFonts w:hint="default" w:ascii="Times New Roman" w:hAnsi="Times New Roman" w:eastAsia="仿宋" w:cs="Times New Roman"/>
          <w:b/>
          <w:bCs/>
          <w:color w:val="auto"/>
          <w:sz w:val="28"/>
          <w:szCs w:val="28"/>
          <w:highlight w:val="none"/>
        </w:rPr>
      </w:pPr>
    </w:p>
    <w:p w14:paraId="0AFBFC3D">
      <w:pPr>
        <w:pStyle w:val="12"/>
        <w:spacing w:line="360" w:lineRule="auto"/>
        <w:jc w:val="both"/>
        <w:rPr>
          <w:rFonts w:hint="default" w:ascii="Times New Roman" w:hAnsi="Times New Roman" w:eastAsia="仿宋" w:cs="Times New Roman"/>
          <w:b/>
          <w:bCs/>
          <w:color w:val="auto"/>
          <w:sz w:val="28"/>
          <w:szCs w:val="28"/>
          <w:highlight w:val="none"/>
        </w:rPr>
      </w:pPr>
    </w:p>
    <w:p w14:paraId="69F9B443">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5.3审计服务业绩</w:t>
      </w:r>
    </w:p>
    <w:p w14:paraId="0443F8AB">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64227845">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6E7E25FB">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65F6F9AE">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101132C1">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2C924464">
      <w:pPr>
        <w:pStyle w:val="12"/>
        <w:spacing w:line="360" w:lineRule="auto"/>
        <w:ind w:firstLine="562"/>
        <w:jc w:val="both"/>
        <w:rPr>
          <w:rFonts w:hint="default" w:ascii="Times New Roman" w:hAnsi="Times New Roman" w:eastAsia="仿宋" w:cs="Times New Roman"/>
          <w:b/>
          <w:bCs/>
          <w:color w:val="auto"/>
          <w:sz w:val="28"/>
          <w:szCs w:val="28"/>
          <w:highlight w:val="none"/>
          <w:lang w:val="en-US" w:eastAsia="zh-CN"/>
        </w:rPr>
      </w:pPr>
    </w:p>
    <w:p w14:paraId="1AD8E891">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553881C0">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60E29CF">
      <w:pPr>
        <w:pStyle w:val="12"/>
        <w:spacing w:line="360" w:lineRule="auto"/>
        <w:jc w:val="center"/>
        <w:rPr>
          <w:rFonts w:hint="default" w:ascii="Times New Roman" w:hAnsi="Times New Roman" w:eastAsia="仿宋" w:cs="Times New Roman"/>
          <w:b/>
          <w:bCs/>
          <w:color w:val="auto"/>
          <w:sz w:val="28"/>
          <w:szCs w:val="28"/>
          <w:highlight w:val="none"/>
        </w:rPr>
      </w:pPr>
    </w:p>
    <w:p w14:paraId="6EAA9B03">
      <w:pPr>
        <w:pStyle w:val="12"/>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5BA5A15D">
      <w:pPr>
        <w:pStyle w:val="3"/>
        <w:numPr>
          <w:ilvl w:val="1"/>
          <w:numId w:val="0"/>
        </w:numPr>
        <w:rPr>
          <w:rFonts w:hint="default" w:ascii="Times New Roman" w:hAnsi="Times New Roman" w:cs="Times New Roman"/>
          <w:lang w:eastAsia="zh-CN"/>
        </w:rPr>
      </w:pPr>
    </w:p>
    <w:p w14:paraId="5D32D5B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r>
        <w:rPr>
          <w:rFonts w:hint="default" w:ascii="Times New Roman" w:hAnsi="Times New Roman" w:eastAsia="仿宋" w:cs="Times New Roman"/>
          <w:b/>
          <w:color w:val="auto"/>
          <w:sz w:val="36"/>
          <w:szCs w:val="36"/>
          <w:shd w:val="clear" w:color="060000" w:fill="auto"/>
          <w:lang w:eastAsia="zh-CN"/>
        </w:rPr>
        <w:t>注：投标文件首页加盖公章，并加盖骑缝章。</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F9F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EC0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8EC0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8A7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32E2">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D7132E2">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1AE867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F363">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9163B">
                          <w:pPr>
                            <w:pStyle w:val="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5DC9163B">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FhM2EwODY4NDRkYjYzMmZlZjk4NzdkN2MzND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5A0EEF"/>
    <w:rsid w:val="01944054"/>
    <w:rsid w:val="019B2BEF"/>
    <w:rsid w:val="01A548CD"/>
    <w:rsid w:val="01A754AC"/>
    <w:rsid w:val="01F42D45"/>
    <w:rsid w:val="02326E3B"/>
    <w:rsid w:val="02553FCA"/>
    <w:rsid w:val="026A40B0"/>
    <w:rsid w:val="02E62FD5"/>
    <w:rsid w:val="02FB57F1"/>
    <w:rsid w:val="0308368E"/>
    <w:rsid w:val="030B47EA"/>
    <w:rsid w:val="03AA0450"/>
    <w:rsid w:val="03FC5F2A"/>
    <w:rsid w:val="03FD2384"/>
    <w:rsid w:val="03FE312B"/>
    <w:rsid w:val="048E7480"/>
    <w:rsid w:val="04992949"/>
    <w:rsid w:val="04AE0156"/>
    <w:rsid w:val="04C3537C"/>
    <w:rsid w:val="05020FB4"/>
    <w:rsid w:val="053334A3"/>
    <w:rsid w:val="056326BB"/>
    <w:rsid w:val="05683C70"/>
    <w:rsid w:val="058F525E"/>
    <w:rsid w:val="059861B2"/>
    <w:rsid w:val="05FB5A9A"/>
    <w:rsid w:val="05FC1EA1"/>
    <w:rsid w:val="06124783"/>
    <w:rsid w:val="06551615"/>
    <w:rsid w:val="06C947A0"/>
    <w:rsid w:val="06E14AFA"/>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387C3D"/>
    <w:rsid w:val="094B62C2"/>
    <w:rsid w:val="09A82D92"/>
    <w:rsid w:val="09FD7499"/>
    <w:rsid w:val="0A0107ED"/>
    <w:rsid w:val="0A081B65"/>
    <w:rsid w:val="0A0F77E2"/>
    <w:rsid w:val="0A1741F1"/>
    <w:rsid w:val="0A216EF0"/>
    <w:rsid w:val="0A4C1970"/>
    <w:rsid w:val="0A873F23"/>
    <w:rsid w:val="0AA96DC2"/>
    <w:rsid w:val="0AB17A25"/>
    <w:rsid w:val="0AD41965"/>
    <w:rsid w:val="0B1F3CE3"/>
    <w:rsid w:val="0B367E19"/>
    <w:rsid w:val="0BC62C8C"/>
    <w:rsid w:val="0BCF6E3B"/>
    <w:rsid w:val="0BF4439B"/>
    <w:rsid w:val="0BFF607D"/>
    <w:rsid w:val="0C2D568A"/>
    <w:rsid w:val="0C394176"/>
    <w:rsid w:val="0C6B181D"/>
    <w:rsid w:val="0C85421C"/>
    <w:rsid w:val="0CE27C09"/>
    <w:rsid w:val="0CE82126"/>
    <w:rsid w:val="0CEA36C2"/>
    <w:rsid w:val="0CEF0CD8"/>
    <w:rsid w:val="0D1D75F3"/>
    <w:rsid w:val="0D5D0460"/>
    <w:rsid w:val="0D6D6787"/>
    <w:rsid w:val="0D7D0092"/>
    <w:rsid w:val="0D8E229F"/>
    <w:rsid w:val="0DB205B8"/>
    <w:rsid w:val="0DB22432"/>
    <w:rsid w:val="0DF90060"/>
    <w:rsid w:val="0E0908A4"/>
    <w:rsid w:val="0E1651AA"/>
    <w:rsid w:val="0E3F42A4"/>
    <w:rsid w:val="0E59677C"/>
    <w:rsid w:val="0E5C05EF"/>
    <w:rsid w:val="0F29227F"/>
    <w:rsid w:val="0F3C1993"/>
    <w:rsid w:val="0F3F5ECC"/>
    <w:rsid w:val="0F5B5841"/>
    <w:rsid w:val="0F8C6010"/>
    <w:rsid w:val="0F920F42"/>
    <w:rsid w:val="0FF1616E"/>
    <w:rsid w:val="106A54DC"/>
    <w:rsid w:val="10A96A1D"/>
    <w:rsid w:val="10B93643"/>
    <w:rsid w:val="10BC2049"/>
    <w:rsid w:val="10C77C97"/>
    <w:rsid w:val="10DB5A15"/>
    <w:rsid w:val="11074A45"/>
    <w:rsid w:val="112B13E4"/>
    <w:rsid w:val="113E7AD2"/>
    <w:rsid w:val="11431174"/>
    <w:rsid w:val="115715E8"/>
    <w:rsid w:val="116D470F"/>
    <w:rsid w:val="11702FA8"/>
    <w:rsid w:val="117C5F04"/>
    <w:rsid w:val="11845B85"/>
    <w:rsid w:val="118E0DF0"/>
    <w:rsid w:val="11B251A7"/>
    <w:rsid w:val="11C56917"/>
    <w:rsid w:val="11CF3222"/>
    <w:rsid w:val="11EC4489"/>
    <w:rsid w:val="11FA4BEA"/>
    <w:rsid w:val="12127FED"/>
    <w:rsid w:val="121466FB"/>
    <w:rsid w:val="12691FF2"/>
    <w:rsid w:val="12724E69"/>
    <w:rsid w:val="12B652F8"/>
    <w:rsid w:val="12B75B24"/>
    <w:rsid w:val="12F26B7A"/>
    <w:rsid w:val="12FC6FC7"/>
    <w:rsid w:val="132964DD"/>
    <w:rsid w:val="13405DEA"/>
    <w:rsid w:val="134273A6"/>
    <w:rsid w:val="134D2675"/>
    <w:rsid w:val="138959E3"/>
    <w:rsid w:val="13DD188A"/>
    <w:rsid w:val="1417033E"/>
    <w:rsid w:val="14257A9C"/>
    <w:rsid w:val="14260297"/>
    <w:rsid w:val="1461426A"/>
    <w:rsid w:val="14B9009A"/>
    <w:rsid w:val="14C13DF5"/>
    <w:rsid w:val="14DD52B7"/>
    <w:rsid w:val="1568300C"/>
    <w:rsid w:val="1578154F"/>
    <w:rsid w:val="15B61D16"/>
    <w:rsid w:val="15D370F1"/>
    <w:rsid w:val="15DC5FD5"/>
    <w:rsid w:val="15FB041F"/>
    <w:rsid w:val="1613047C"/>
    <w:rsid w:val="16311C5B"/>
    <w:rsid w:val="16634A5A"/>
    <w:rsid w:val="16797AE5"/>
    <w:rsid w:val="168D490F"/>
    <w:rsid w:val="169B0083"/>
    <w:rsid w:val="16A23764"/>
    <w:rsid w:val="16AE1F94"/>
    <w:rsid w:val="16D47B5C"/>
    <w:rsid w:val="16F6268C"/>
    <w:rsid w:val="172054F7"/>
    <w:rsid w:val="17294B3E"/>
    <w:rsid w:val="17317322"/>
    <w:rsid w:val="1765168D"/>
    <w:rsid w:val="17AB5D47"/>
    <w:rsid w:val="17CE7E68"/>
    <w:rsid w:val="17FB49D5"/>
    <w:rsid w:val="17FC0062"/>
    <w:rsid w:val="184B4CB4"/>
    <w:rsid w:val="185022E7"/>
    <w:rsid w:val="18DE17DA"/>
    <w:rsid w:val="191B509A"/>
    <w:rsid w:val="19B117EF"/>
    <w:rsid w:val="19C26506"/>
    <w:rsid w:val="19CE23A1"/>
    <w:rsid w:val="19CF5DED"/>
    <w:rsid w:val="19D13793"/>
    <w:rsid w:val="1A275FCD"/>
    <w:rsid w:val="1A5359A6"/>
    <w:rsid w:val="1A943AF7"/>
    <w:rsid w:val="1AF8344E"/>
    <w:rsid w:val="1B194560"/>
    <w:rsid w:val="1BA57132"/>
    <w:rsid w:val="1BB548EA"/>
    <w:rsid w:val="1BC670A8"/>
    <w:rsid w:val="1C1B1EB3"/>
    <w:rsid w:val="1C64690B"/>
    <w:rsid w:val="1CC40435"/>
    <w:rsid w:val="1CD42406"/>
    <w:rsid w:val="1CE0656D"/>
    <w:rsid w:val="1D2C734C"/>
    <w:rsid w:val="1D6A3830"/>
    <w:rsid w:val="1DE85A76"/>
    <w:rsid w:val="1E03326D"/>
    <w:rsid w:val="1E2F3584"/>
    <w:rsid w:val="1E4470D6"/>
    <w:rsid w:val="1E4F0105"/>
    <w:rsid w:val="1E5866DD"/>
    <w:rsid w:val="1E700A63"/>
    <w:rsid w:val="1E8F2A30"/>
    <w:rsid w:val="1E94348E"/>
    <w:rsid w:val="1EA41285"/>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606958"/>
    <w:rsid w:val="20820C14"/>
    <w:rsid w:val="20AA62CB"/>
    <w:rsid w:val="20B00A53"/>
    <w:rsid w:val="211F34E2"/>
    <w:rsid w:val="215B337E"/>
    <w:rsid w:val="216C04F5"/>
    <w:rsid w:val="217B07D6"/>
    <w:rsid w:val="218712BD"/>
    <w:rsid w:val="21A2432F"/>
    <w:rsid w:val="21CD73E2"/>
    <w:rsid w:val="21D00C81"/>
    <w:rsid w:val="220254EF"/>
    <w:rsid w:val="22266AF2"/>
    <w:rsid w:val="232C2F57"/>
    <w:rsid w:val="23A81EB5"/>
    <w:rsid w:val="23B100DE"/>
    <w:rsid w:val="23B6787C"/>
    <w:rsid w:val="23E21E1B"/>
    <w:rsid w:val="243125A8"/>
    <w:rsid w:val="244A40D4"/>
    <w:rsid w:val="24657AC4"/>
    <w:rsid w:val="24882976"/>
    <w:rsid w:val="251578C4"/>
    <w:rsid w:val="25253340"/>
    <w:rsid w:val="2544167D"/>
    <w:rsid w:val="25866263"/>
    <w:rsid w:val="258F065A"/>
    <w:rsid w:val="25D6438C"/>
    <w:rsid w:val="25E62821"/>
    <w:rsid w:val="262923F6"/>
    <w:rsid w:val="265D777E"/>
    <w:rsid w:val="26840989"/>
    <w:rsid w:val="26924756"/>
    <w:rsid w:val="26D97E99"/>
    <w:rsid w:val="270F0DDD"/>
    <w:rsid w:val="271146E5"/>
    <w:rsid w:val="271635D9"/>
    <w:rsid w:val="271907E2"/>
    <w:rsid w:val="27295DF1"/>
    <w:rsid w:val="2735397F"/>
    <w:rsid w:val="27406D98"/>
    <w:rsid w:val="274912B9"/>
    <w:rsid w:val="279D482F"/>
    <w:rsid w:val="27C645BC"/>
    <w:rsid w:val="27CD64A0"/>
    <w:rsid w:val="27EC4921"/>
    <w:rsid w:val="28120F00"/>
    <w:rsid w:val="28326AA6"/>
    <w:rsid w:val="28520A01"/>
    <w:rsid w:val="286C3DC6"/>
    <w:rsid w:val="288874B8"/>
    <w:rsid w:val="28A41075"/>
    <w:rsid w:val="28A7322C"/>
    <w:rsid w:val="28AD1416"/>
    <w:rsid w:val="28FA35CB"/>
    <w:rsid w:val="291A53C6"/>
    <w:rsid w:val="292D4147"/>
    <w:rsid w:val="29695641"/>
    <w:rsid w:val="297840D8"/>
    <w:rsid w:val="29D46E34"/>
    <w:rsid w:val="29E7010E"/>
    <w:rsid w:val="29EA3339"/>
    <w:rsid w:val="29F660A7"/>
    <w:rsid w:val="2A0E114D"/>
    <w:rsid w:val="2A327707"/>
    <w:rsid w:val="2A7423E6"/>
    <w:rsid w:val="2A9A62D0"/>
    <w:rsid w:val="2AE97D0D"/>
    <w:rsid w:val="2B0B2D29"/>
    <w:rsid w:val="2B1C0D4E"/>
    <w:rsid w:val="2B3B74A1"/>
    <w:rsid w:val="2B55010B"/>
    <w:rsid w:val="2C1F6A8C"/>
    <w:rsid w:val="2C212804"/>
    <w:rsid w:val="2C81364F"/>
    <w:rsid w:val="2CA3146B"/>
    <w:rsid w:val="2CE0006A"/>
    <w:rsid w:val="2CE46E4B"/>
    <w:rsid w:val="2CFE05A2"/>
    <w:rsid w:val="2D17374A"/>
    <w:rsid w:val="2D306F2B"/>
    <w:rsid w:val="2DB15E8A"/>
    <w:rsid w:val="2DCE0BC4"/>
    <w:rsid w:val="2DCE1EBA"/>
    <w:rsid w:val="2E141EF5"/>
    <w:rsid w:val="2E59637B"/>
    <w:rsid w:val="2E5F5866"/>
    <w:rsid w:val="2ECB4055"/>
    <w:rsid w:val="2ED85DFF"/>
    <w:rsid w:val="2EF7784D"/>
    <w:rsid w:val="2F185D21"/>
    <w:rsid w:val="2F63028D"/>
    <w:rsid w:val="2F7716E9"/>
    <w:rsid w:val="2FB07FE7"/>
    <w:rsid w:val="300050A6"/>
    <w:rsid w:val="30415FA8"/>
    <w:rsid w:val="30741FB4"/>
    <w:rsid w:val="30AE55C4"/>
    <w:rsid w:val="30C35F0F"/>
    <w:rsid w:val="30C83AB6"/>
    <w:rsid w:val="30FD4260"/>
    <w:rsid w:val="310821E5"/>
    <w:rsid w:val="310E70CF"/>
    <w:rsid w:val="31273A38"/>
    <w:rsid w:val="31523460"/>
    <w:rsid w:val="31576CC8"/>
    <w:rsid w:val="318A60B5"/>
    <w:rsid w:val="318D26EA"/>
    <w:rsid w:val="31A75185"/>
    <w:rsid w:val="31E42322"/>
    <w:rsid w:val="31F97998"/>
    <w:rsid w:val="32093536"/>
    <w:rsid w:val="326D294D"/>
    <w:rsid w:val="32A912AB"/>
    <w:rsid w:val="32AB643B"/>
    <w:rsid w:val="32D66B44"/>
    <w:rsid w:val="32EB1476"/>
    <w:rsid w:val="32FD4C9D"/>
    <w:rsid w:val="3307064A"/>
    <w:rsid w:val="33680739"/>
    <w:rsid w:val="33896EE1"/>
    <w:rsid w:val="339D540B"/>
    <w:rsid w:val="33BA709B"/>
    <w:rsid w:val="33DF56D7"/>
    <w:rsid w:val="33F614CC"/>
    <w:rsid w:val="34046622"/>
    <w:rsid w:val="35234AC0"/>
    <w:rsid w:val="354B6EE5"/>
    <w:rsid w:val="356E638F"/>
    <w:rsid w:val="35AD5109"/>
    <w:rsid w:val="35B53E09"/>
    <w:rsid w:val="36005E25"/>
    <w:rsid w:val="360D1CB0"/>
    <w:rsid w:val="36300FF3"/>
    <w:rsid w:val="36515672"/>
    <w:rsid w:val="36707BDB"/>
    <w:rsid w:val="36771BA1"/>
    <w:rsid w:val="368734D4"/>
    <w:rsid w:val="368E76EE"/>
    <w:rsid w:val="36A27FE9"/>
    <w:rsid w:val="36AA789A"/>
    <w:rsid w:val="36AF3103"/>
    <w:rsid w:val="36BA2093"/>
    <w:rsid w:val="36C726DC"/>
    <w:rsid w:val="36F8714B"/>
    <w:rsid w:val="373C3AAF"/>
    <w:rsid w:val="3757121F"/>
    <w:rsid w:val="3768578B"/>
    <w:rsid w:val="37923526"/>
    <w:rsid w:val="379801D0"/>
    <w:rsid w:val="37A75B88"/>
    <w:rsid w:val="37B962F4"/>
    <w:rsid w:val="37C404E8"/>
    <w:rsid w:val="37E40B8A"/>
    <w:rsid w:val="380729ED"/>
    <w:rsid w:val="381E7EEB"/>
    <w:rsid w:val="381F1BC2"/>
    <w:rsid w:val="39343BEA"/>
    <w:rsid w:val="39922270"/>
    <w:rsid w:val="39954300"/>
    <w:rsid w:val="399F745E"/>
    <w:rsid w:val="39A1385A"/>
    <w:rsid w:val="39F01641"/>
    <w:rsid w:val="3A1F34C0"/>
    <w:rsid w:val="3A537A35"/>
    <w:rsid w:val="3A5E4C24"/>
    <w:rsid w:val="3A8A06D2"/>
    <w:rsid w:val="3AE40EFC"/>
    <w:rsid w:val="3AFE3AA8"/>
    <w:rsid w:val="3B58781C"/>
    <w:rsid w:val="3B603FB5"/>
    <w:rsid w:val="3B9C1EA7"/>
    <w:rsid w:val="3C074F53"/>
    <w:rsid w:val="3C1063F2"/>
    <w:rsid w:val="3C1A7543"/>
    <w:rsid w:val="3C3F1C5A"/>
    <w:rsid w:val="3C434DC6"/>
    <w:rsid w:val="3C5250C0"/>
    <w:rsid w:val="3C605616"/>
    <w:rsid w:val="3D307460"/>
    <w:rsid w:val="3D336A22"/>
    <w:rsid w:val="3D815A91"/>
    <w:rsid w:val="3D935590"/>
    <w:rsid w:val="3DDE0AF1"/>
    <w:rsid w:val="3E0B0C1F"/>
    <w:rsid w:val="3E216C45"/>
    <w:rsid w:val="3E467EA9"/>
    <w:rsid w:val="3E8F4637"/>
    <w:rsid w:val="3E902962"/>
    <w:rsid w:val="3E9E3989"/>
    <w:rsid w:val="3EB4066C"/>
    <w:rsid w:val="3ED92392"/>
    <w:rsid w:val="3EDF1821"/>
    <w:rsid w:val="3F051FBF"/>
    <w:rsid w:val="3F4643A3"/>
    <w:rsid w:val="3F4B08A0"/>
    <w:rsid w:val="3F7C3208"/>
    <w:rsid w:val="3FAB3EFB"/>
    <w:rsid w:val="3FFD02C3"/>
    <w:rsid w:val="40590438"/>
    <w:rsid w:val="4071000B"/>
    <w:rsid w:val="408E2A02"/>
    <w:rsid w:val="40F34CBE"/>
    <w:rsid w:val="411246CC"/>
    <w:rsid w:val="411B580C"/>
    <w:rsid w:val="41720FB5"/>
    <w:rsid w:val="41B66084"/>
    <w:rsid w:val="41E07D3E"/>
    <w:rsid w:val="41EA3241"/>
    <w:rsid w:val="42876CE2"/>
    <w:rsid w:val="428E4701"/>
    <w:rsid w:val="42D36040"/>
    <w:rsid w:val="42F869F2"/>
    <w:rsid w:val="43644E69"/>
    <w:rsid w:val="43AD6589"/>
    <w:rsid w:val="44562E10"/>
    <w:rsid w:val="44B518E4"/>
    <w:rsid w:val="44B813D4"/>
    <w:rsid w:val="44F70EBD"/>
    <w:rsid w:val="44FB0A19"/>
    <w:rsid w:val="45042FAA"/>
    <w:rsid w:val="4507013A"/>
    <w:rsid w:val="455C1937"/>
    <w:rsid w:val="455C4456"/>
    <w:rsid w:val="458F7E0C"/>
    <w:rsid w:val="46047F8E"/>
    <w:rsid w:val="461A28EF"/>
    <w:rsid w:val="464A2500"/>
    <w:rsid w:val="466A72CE"/>
    <w:rsid w:val="46975DF4"/>
    <w:rsid w:val="472B0583"/>
    <w:rsid w:val="4766461F"/>
    <w:rsid w:val="477766D9"/>
    <w:rsid w:val="477C40B7"/>
    <w:rsid w:val="48194A85"/>
    <w:rsid w:val="48495DFF"/>
    <w:rsid w:val="48575D8F"/>
    <w:rsid w:val="489067C8"/>
    <w:rsid w:val="489565B3"/>
    <w:rsid w:val="48A13DC8"/>
    <w:rsid w:val="48AD4E73"/>
    <w:rsid w:val="48B337FF"/>
    <w:rsid w:val="48B70D11"/>
    <w:rsid w:val="48D733E1"/>
    <w:rsid w:val="48EB7FCA"/>
    <w:rsid w:val="49086CBA"/>
    <w:rsid w:val="49316F70"/>
    <w:rsid w:val="493368FD"/>
    <w:rsid w:val="49347C3B"/>
    <w:rsid w:val="49B02E7D"/>
    <w:rsid w:val="49B31F01"/>
    <w:rsid w:val="49BB4089"/>
    <w:rsid w:val="49C97DEE"/>
    <w:rsid w:val="49D97A88"/>
    <w:rsid w:val="49DB109C"/>
    <w:rsid w:val="49E52C6C"/>
    <w:rsid w:val="4A1A2C2A"/>
    <w:rsid w:val="4A2420E4"/>
    <w:rsid w:val="4A2512BA"/>
    <w:rsid w:val="4A352F2C"/>
    <w:rsid w:val="4A3E412A"/>
    <w:rsid w:val="4A433A00"/>
    <w:rsid w:val="4A886551"/>
    <w:rsid w:val="4A914D76"/>
    <w:rsid w:val="4AAD1308"/>
    <w:rsid w:val="4AD82C70"/>
    <w:rsid w:val="4B050440"/>
    <w:rsid w:val="4B6D0130"/>
    <w:rsid w:val="4B926BE7"/>
    <w:rsid w:val="4BBE0A90"/>
    <w:rsid w:val="4BDD7BA7"/>
    <w:rsid w:val="4CBC7AF3"/>
    <w:rsid w:val="4D027691"/>
    <w:rsid w:val="4D4F0070"/>
    <w:rsid w:val="4D8D33B6"/>
    <w:rsid w:val="4DC64B62"/>
    <w:rsid w:val="4DE312D8"/>
    <w:rsid w:val="4DF94F37"/>
    <w:rsid w:val="4E3E6DEE"/>
    <w:rsid w:val="4EA57EB3"/>
    <w:rsid w:val="4F1801C5"/>
    <w:rsid w:val="4F1815D8"/>
    <w:rsid w:val="4F312689"/>
    <w:rsid w:val="4F881DD2"/>
    <w:rsid w:val="4FA17635"/>
    <w:rsid w:val="500109DB"/>
    <w:rsid w:val="500656EA"/>
    <w:rsid w:val="503F15BF"/>
    <w:rsid w:val="50855379"/>
    <w:rsid w:val="50F25C6E"/>
    <w:rsid w:val="516701F0"/>
    <w:rsid w:val="516E5741"/>
    <w:rsid w:val="51994ECA"/>
    <w:rsid w:val="52154F6C"/>
    <w:rsid w:val="52CB2081"/>
    <w:rsid w:val="52E01E33"/>
    <w:rsid w:val="52EA504C"/>
    <w:rsid w:val="52EF06B7"/>
    <w:rsid w:val="53091D0F"/>
    <w:rsid w:val="5373420A"/>
    <w:rsid w:val="53B31FFA"/>
    <w:rsid w:val="542B0171"/>
    <w:rsid w:val="54396B72"/>
    <w:rsid w:val="54E44EA5"/>
    <w:rsid w:val="54F2041B"/>
    <w:rsid w:val="55320F1C"/>
    <w:rsid w:val="553E501B"/>
    <w:rsid w:val="554C53C5"/>
    <w:rsid w:val="559F537E"/>
    <w:rsid w:val="55E5390A"/>
    <w:rsid w:val="55F10BEA"/>
    <w:rsid w:val="560D34CE"/>
    <w:rsid w:val="564E3947"/>
    <w:rsid w:val="567632A2"/>
    <w:rsid w:val="568E6439"/>
    <w:rsid w:val="56AB69D0"/>
    <w:rsid w:val="56D737F9"/>
    <w:rsid w:val="56E218A8"/>
    <w:rsid w:val="570E17B8"/>
    <w:rsid w:val="57131414"/>
    <w:rsid w:val="571F09D2"/>
    <w:rsid w:val="572B1EDA"/>
    <w:rsid w:val="57932A23"/>
    <w:rsid w:val="57DE3BDF"/>
    <w:rsid w:val="581770D7"/>
    <w:rsid w:val="58374347"/>
    <w:rsid w:val="58457CD0"/>
    <w:rsid w:val="585711A2"/>
    <w:rsid w:val="58C92183"/>
    <w:rsid w:val="59277154"/>
    <w:rsid w:val="593A20E1"/>
    <w:rsid w:val="59480B21"/>
    <w:rsid w:val="59771406"/>
    <w:rsid w:val="59B212B6"/>
    <w:rsid w:val="59E446EB"/>
    <w:rsid w:val="5A0370DE"/>
    <w:rsid w:val="5A0606CA"/>
    <w:rsid w:val="5A0614BF"/>
    <w:rsid w:val="5A3B14EF"/>
    <w:rsid w:val="5AB242ED"/>
    <w:rsid w:val="5AC74DF8"/>
    <w:rsid w:val="5ADF17A9"/>
    <w:rsid w:val="5B2630E4"/>
    <w:rsid w:val="5B751975"/>
    <w:rsid w:val="5B772776"/>
    <w:rsid w:val="5BAD7C06"/>
    <w:rsid w:val="5BB81099"/>
    <w:rsid w:val="5C280A4D"/>
    <w:rsid w:val="5D040FCE"/>
    <w:rsid w:val="5D236E89"/>
    <w:rsid w:val="5D4D5F01"/>
    <w:rsid w:val="5D6515BE"/>
    <w:rsid w:val="5D7B5F87"/>
    <w:rsid w:val="5D870C6B"/>
    <w:rsid w:val="5D90511C"/>
    <w:rsid w:val="5E053ECD"/>
    <w:rsid w:val="5E240CCF"/>
    <w:rsid w:val="5E4C4C10"/>
    <w:rsid w:val="5E68756F"/>
    <w:rsid w:val="5E7F0E92"/>
    <w:rsid w:val="5E922FD2"/>
    <w:rsid w:val="5EA80A59"/>
    <w:rsid w:val="5EAA77E0"/>
    <w:rsid w:val="5EB620AD"/>
    <w:rsid w:val="5ECD7C67"/>
    <w:rsid w:val="5F120CCD"/>
    <w:rsid w:val="5F4132BE"/>
    <w:rsid w:val="5F544D41"/>
    <w:rsid w:val="5F8F37C0"/>
    <w:rsid w:val="5FF94530"/>
    <w:rsid w:val="600F2268"/>
    <w:rsid w:val="601B5081"/>
    <w:rsid w:val="60255718"/>
    <w:rsid w:val="6171137E"/>
    <w:rsid w:val="61A134C4"/>
    <w:rsid w:val="620F26F9"/>
    <w:rsid w:val="621D05DD"/>
    <w:rsid w:val="626C7A56"/>
    <w:rsid w:val="6300246C"/>
    <w:rsid w:val="630C5CCA"/>
    <w:rsid w:val="632704EF"/>
    <w:rsid w:val="6356208C"/>
    <w:rsid w:val="63570A5E"/>
    <w:rsid w:val="635E5215"/>
    <w:rsid w:val="63604CB9"/>
    <w:rsid w:val="63614B41"/>
    <w:rsid w:val="638559B0"/>
    <w:rsid w:val="63C3663B"/>
    <w:rsid w:val="644F42C7"/>
    <w:rsid w:val="64D92503"/>
    <w:rsid w:val="65193AC8"/>
    <w:rsid w:val="655C559A"/>
    <w:rsid w:val="65D26511"/>
    <w:rsid w:val="65F17A91"/>
    <w:rsid w:val="66052E26"/>
    <w:rsid w:val="660E452A"/>
    <w:rsid w:val="66172B3B"/>
    <w:rsid w:val="6646463A"/>
    <w:rsid w:val="664967D6"/>
    <w:rsid w:val="666A19E3"/>
    <w:rsid w:val="66717623"/>
    <w:rsid w:val="66890C0F"/>
    <w:rsid w:val="66A00B1A"/>
    <w:rsid w:val="66EC5ECA"/>
    <w:rsid w:val="671F493B"/>
    <w:rsid w:val="67220C03"/>
    <w:rsid w:val="67260FAF"/>
    <w:rsid w:val="67535261"/>
    <w:rsid w:val="675A5CEE"/>
    <w:rsid w:val="6771251F"/>
    <w:rsid w:val="678D0D6C"/>
    <w:rsid w:val="67912D2E"/>
    <w:rsid w:val="67CE5306"/>
    <w:rsid w:val="67E66902"/>
    <w:rsid w:val="67E9627C"/>
    <w:rsid w:val="68024F3E"/>
    <w:rsid w:val="682E474C"/>
    <w:rsid w:val="68656D1C"/>
    <w:rsid w:val="686E5813"/>
    <w:rsid w:val="68B8495E"/>
    <w:rsid w:val="68BD7FAB"/>
    <w:rsid w:val="69044CCB"/>
    <w:rsid w:val="692A321E"/>
    <w:rsid w:val="695503E5"/>
    <w:rsid w:val="695E6E70"/>
    <w:rsid w:val="696F7727"/>
    <w:rsid w:val="69761B48"/>
    <w:rsid w:val="69826F10"/>
    <w:rsid w:val="6A291D77"/>
    <w:rsid w:val="6A294057"/>
    <w:rsid w:val="6A311144"/>
    <w:rsid w:val="6A826D0C"/>
    <w:rsid w:val="6AA95198"/>
    <w:rsid w:val="6AC978EB"/>
    <w:rsid w:val="6AFE0FD5"/>
    <w:rsid w:val="6B363DC9"/>
    <w:rsid w:val="6B770B4F"/>
    <w:rsid w:val="6B7945E7"/>
    <w:rsid w:val="6BB35FF6"/>
    <w:rsid w:val="6C1765A4"/>
    <w:rsid w:val="6C3F19FF"/>
    <w:rsid w:val="6C3F4EF1"/>
    <w:rsid w:val="6C520153"/>
    <w:rsid w:val="6C83461C"/>
    <w:rsid w:val="6D2A1711"/>
    <w:rsid w:val="6D2C2012"/>
    <w:rsid w:val="6D465AD5"/>
    <w:rsid w:val="6D47061C"/>
    <w:rsid w:val="6D612C36"/>
    <w:rsid w:val="6D641F3F"/>
    <w:rsid w:val="6DAC7479"/>
    <w:rsid w:val="6E6733A0"/>
    <w:rsid w:val="6E753AC9"/>
    <w:rsid w:val="6EAB3C78"/>
    <w:rsid w:val="6EBE56B6"/>
    <w:rsid w:val="6ECF7E2D"/>
    <w:rsid w:val="6F764825"/>
    <w:rsid w:val="6F7E0BF8"/>
    <w:rsid w:val="6FA0300D"/>
    <w:rsid w:val="6FC42292"/>
    <w:rsid w:val="6FE5761E"/>
    <w:rsid w:val="70241CE7"/>
    <w:rsid w:val="705A492B"/>
    <w:rsid w:val="70B054D2"/>
    <w:rsid w:val="70E138DD"/>
    <w:rsid w:val="713056CE"/>
    <w:rsid w:val="71435060"/>
    <w:rsid w:val="71B42DA0"/>
    <w:rsid w:val="71B804AF"/>
    <w:rsid w:val="71B92164"/>
    <w:rsid w:val="71BD5126"/>
    <w:rsid w:val="71E04DB2"/>
    <w:rsid w:val="72315F52"/>
    <w:rsid w:val="72380C91"/>
    <w:rsid w:val="72912A35"/>
    <w:rsid w:val="72933FAE"/>
    <w:rsid w:val="72FC3A72"/>
    <w:rsid w:val="73036065"/>
    <w:rsid w:val="73194E17"/>
    <w:rsid w:val="73247AB1"/>
    <w:rsid w:val="73610D05"/>
    <w:rsid w:val="737E32EA"/>
    <w:rsid w:val="73E159A2"/>
    <w:rsid w:val="741C2FF0"/>
    <w:rsid w:val="74207BDF"/>
    <w:rsid w:val="743A788B"/>
    <w:rsid w:val="74704AA1"/>
    <w:rsid w:val="748D1D90"/>
    <w:rsid w:val="74933140"/>
    <w:rsid w:val="74FF73E9"/>
    <w:rsid w:val="75145A02"/>
    <w:rsid w:val="752A6035"/>
    <w:rsid w:val="75647827"/>
    <w:rsid w:val="757411C0"/>
    <w:rsid w:val="757D656B"/>
    <w:rsid w:val="759F5B15"/>
    <w:rsid w:val="75A3300B"/>
    <w:rsid w:val="75BE5F9B"/>
    <w:rsid w:val="75CD4430"/>
    <w:rsid w:val="76105F0C"/>
    <w:rsid w:val="76176FE0"/>
    <w:rsid w:val="762E3465"/>
    <w:rsid w:val="76685532"/>
    <w:rsid w:val="76692FDA"/>
    <w:rsid w:val="766E7E14"/>
    <w:rsid w:val="76DE7C83"/>
    <w:rsid w:val="77065E4C"/>
    <w:rsid w:val="773735B1"/>
    <w:rsid w:val="77404125"/>
    <w:rsid w:val="774723A6"/>
    <w:rsid w:val="775943C5"/>
    <w:rsid w:val="775B68EA"/>
    <w:rsid w:val="775F34D3"/>
    <w:rsid w:val="779A691A"/>
    <w:rsid w:val="779F71D5"/>
    <w:rsid w:val="77EF2BD0"/>
    <w:rsid w:val="782B00BB"/>
    <w:rsid w:val="782C7998"/>
    <w:rsid w:val="783E35D1"/>
    <w:rsid w:val="78567579"/>
    <w:rsid w:val="78793308"/>
    <w:rsid w:val="788D2A0D"/>
    <w:rsid w:val="789B0106"/>
    <w:rsid w:val="78A334D8"/>
    <w:rsid w:val="78AF121B"/>
    <w:rsid w:val="78B402A3"/>
    <w:rsid w:val="791D52BE"/>
    <w:rsid w:val="793C4C56"/>
    <w:rsid w:val="794C378F"/>
    <w:rsid w:val="795F3706"/>
    <w:rsid w:val="7975290A"/>
    <w:rsid w:val="79B53B29"/>
    <w:rsid w:val="79CF4143"/>
    <w:rsid w:val="7A1563A6"/>
    <w:rsid w:val="7A45464B"/>
    <w:rsid w:val="7A8E5211"/>
    <w:rsid w:val="7AA3348F"/>
    <w:rsid w:val="7AB14320"/>
    <w:rsid w:val="7AEA7832"/>
    <w:rsid w:val="7B086666"/>
    <w:rsid w:val="7B355345"/>
    <w:rsid w:val="7B6A606C"/>
    <w:rsid w:val="7B6C6499"/>
    <w:rsid w:val="7B825CBD"/>
    <w:rsid w:val="7C9937EB"/>
    <w:rsid w:val="7CF50DC1"/>
    <w:rsid w:val="7CFB256C"/>
    <w:rsid w:val="7D2A53A6"/>
    <w:rsid w:val="7D2F7F78"/>
    <w:rsid w:val="7D4E1AA1"/>
    <w:rsid w:val="7D666919"/>
    <w:rsid w:val="7D6774DC"/>
    <w:rsid w:val="7DA63EE4"/>
    <w:rsid w:val="7DF10ED8"/>
    <w:rsid w:val="7DF94E6A"/>
    <w:rsid w:val="7DFF5F32"/>
    <w:rsid w:val="7E1F5511"/>
    <w:rsid w:val="7E2122B0"/>
    <w:rsid w:val="7E507FA2"/>
    <w:rsid w:val="7E667BD9"/>
    <w:rsid w:val="7E694F12"/>
    <w:rsid w:val="7EBB7543"/>
    <w:rsid w:val="7EC564AB"/>
    <w:rsid w:val="7ECB430D"/>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1"/>
    <w:autoRedefine/>
    <w:unhideWhenUsed/>
    <w:qFormat/>
    <w:uiPriority w:val="99"/>
    <w:pPr>
      <w:spacing w:after="120"/>
    </w:p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autoRedefine/>
    <w:unhideWhenUsed/>
    <w:qFormat/>
    <w:uiPriority w:val="99"/>
    <w:pPr>
      <w:adjustRightInd w:val="0"/>
      <w:spacing w:line="300" w:lineRule="auto"/>
      <w:ind w:left="958" w:right="-120" w:rightChars="-120"/>
    </w:pPr>
    <w:rPr>
      <w:rFonts w:hint="eastAsia"/>
      <w:sz w:val="28"/>
    </w:rPr>
  </w:style>
  <w:style w:type="paragraph" w:styleId="12">
    <w:name w:val="Plain Text"/>
    <w:basedOn w:val="1"/>
    <w:autoRedefine/>
    <w:qFormat/>
    <w:uiPriority w:val="0"/>
    <w:rPr>
      <w:sz w:val="24"/>
    </w:rPr>
  </w:style>
  <w:style w:type="paragraph" w:styleId="13">
    <w:name w:val="Date"/>
    <w:basedOn w:val="1"/>
    <w:next w:val="1"/>
    <w:autoRedefine/>
    <w:unhideWhenUsed/>
    <w:qFormat/>
    <w:uiPriority w:val="99"/>
    <w:pPr>
      <w:ind w:left="100" w:leftChars="2500"/>
    </w:pPr>
  </w:style>
  <w:style w:type="paragraph" w:styleId="14">
    <w:name w:val="Balloon Text"/>
    <w:basedOn w:val="1"/>
    <w:link w:val="57"/>
    <w:autoRedefine/>
    <w:qFormat/>
    <w:uiPriority w:val="0"/>
    <w:rPr>
      <w:rFonts w:ascii="宋体"/>
      <w:sz w:val="18"/>
      <w:szCs w:val="18"/>
    </w:rPr>
  </w:style>
  <w:style w:type="paragraph" w:styleId="15">
    <w:name w:val="footer"/>
    <w:basedOn w:val="1"/>
    <w:link w:val="40"/>
    <w:autoRedefine/>
    <w:qFormat/>
    <w:uiPriority w:val="99"/>
    <w:pPr>
      <w:tabs>
        <w:tab w:val="center" w:pos="4153"/>
        <w:tab w:val="right" w:pos="8306"/>
      </w:tabs>
      <w:snapToGrid w:val="0"/>
      <w:jc w:val="left"/>
    </w:pPr>
    <w:rPr>
      <w:sz w:val="18"/>
      <w:szCs w:val="18"/>
    </w:rPr>
  </w:style>
  <w:style w:type="paragraph" w:styleId="16">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8">
    <w:name w:val="List"/>
    <w:basedOn w:val="1"/>
    <w:autoRedefine/>
    <w:qFormat/>
    <w:uiPriority w:val="0"/>
    <w:pPr>
      <w:ind w:left="420" w:hanging="420"/>
    </w:pPr>
    <w:rPr>
      <w:szCs w:val="20"/>
    </w:rPr>
  </w:style>
  <w:style w:type="paragraph" w:styleId="19">
    <w:name w:val="footnote text"/>
    <w:basedOn w:val="1"/>
    <w:autoRedefine/>
    <w:semiHidden/>
    <w:qFormat/>
    <w:uiPriority w:val="99"/>
    <w:pPr>
      <w:snapToGrid w:val="0"/>
      <w:jc w:val="left"/>
    </w:pPr>
    <w:rPr>
      <w:sz w:val="18"/>
      <w:szCs w:val="18"/>
    </w:rPr>
  </w:style>
  <w:style w:type="paragraph" w:styleId="20">
    <w:name w:val="Body Text 2"/>
    <w:basedOn w:val="1"/>
    <w:autoRedefine/>
    <w:qFormat/>
    <w:uiPriority w:val="0"/>
    <w:pPr>
      <w:spacing w:before="100" w:beforeAutospacing="1" w:after="100" w:afterAutospacing="1"/>
      <w:jc w:val="left"/>
    </w:pPr>
    <w:rPr>
      <w:rFonts w:ascii="宋体" w:hAnsi="宋体"/>
      <w:kern w:val="0"/>
      <w:sz w:val="24"/>
    </w:rPr>
  </w:style>
  <w:style w:type="paragraph" w:styleId="21">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2">
    <w:name w:val="Normal (Web)"/>
    <w:basedOn w:val="1"/>
    <w:autoRedefine/>
    <w:qFormat/>
    <w:uiPriority w:val="99"/>
    <w:rPr>
      <w:rFonts w:ascii="Calibri" w:hAnsi="Calibri"/>
      <w:sz w:val="24"/>
      <w:szCs w:val="24"/>
    </w:rPr>
  </w:style>
  <w:style w:type="paragraph" w:styleId="23">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4">
    <w:name w:val="Body Text First Indent"/>
    <w:basedOn w:val="8"/>
    <w:next w:val="25"/>
    <w:autoRedefine/>
    <w:qFormat/>
    <w:uiPriority w:val="0"/>
    <w:pPr>
      <w:ind w:firstLine="420" w:firstLineChars="100"/>
    </w:pPr>
    <w:rPr>
      <w:rFonts w:ascii="宋体"/>
      <w:kern w:val="0"/>
      <w:sz w:val="34"/>
    </w:rPr>
  </w:style>
  <w:style w:type="paragraph" w:styleId="25">
    <w:name w:val="Body Text First Indent 2"/>
    <w:basedOn w:val="9"/>
    <w:next w:val="18"/>
    <w:autoRedefine/>
    <w:unhideWhenUsed/>
    <w:qFormat/>
    <w:uiPriority w:val="99"/>
    <w:pPr>
      <w:ind w:firstLine="420" w:firstLineChars="200"/>
    </w:p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FollowedHyperlink"/>
    <w:basedOn w:val="28"/>
    <w:autoRedefine/>
    <w:qFormat/>
    <w:uiPriority w:val="0"/>
    <w:rPr>
      <w:color w:val="000000"/>
      <w:u w:val="none"/>
    </w:rPr>
  </w:style>
  <w:style w:type="character" w:styleId="31">
    <w:name w:val="Emphasis"/>
    <w:basedOn w:val="28"/>
    <w:autoRedefine/>
    <w:qFormat/>
    <w:uiPriority w:val="0"/>
  </w:style>
  <w:style w:type="character" w:styleId="32">
    <w:name w:val="Hyperlink"/>
    <w:basedOn w:val="28"/>
    <w:autoRedefine/>
    <w:qFormat/>
    <w:uiPriority w:val="0"/>
    <w:rPr>
      <w:color w:val="000000"/>
      <w:u w:val="none"/>
    </w:rPr>
  </w:style>
  <w:style w:type="character" w:styleId="33">
    <w:name w:val="annotation reference"/>
    <w:basedOn w:val="28"/>
    <w:autoRedefine/>
    <w:unhideWhenUsed/>
    <w:qFormat/>
    <w:uiPriority w:val="99"/>
    <w:rPr>
      <w:sz w:val="21"/>
      <w:szCs w:val="21"/>
    </w:rPr>
  </w:style>
  <w:style w:type="paragraph" w:customStyle="1" w:styleId="34">
    <w:name w:val="style4"/>
    <w:basedOn w:val="1"/>
    <w:next w:val="35"/>
    <w:autoRedefine/>
    <w:qFormat/>
    <w:uiPriority w:val="0"/>
    <w:pPr>
      <w:widowControl/>
      <w:spacing w:before="280" w:after="280"/>
    </w:pPr>
    <w:rPr>
      <w:rFonts w:ascii="宋体"/>
      <w:sz w:val="18"/>
    </w:rPr>
  </w:style>
  <w:style w:type="paragraph" w:customStyle="1" w:styleId="3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6">
    <w:name w:val="标题 1 Char"/>
    <w:basedOn w:val="28"/>
    <w:link w:val="2"/>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28"/>
    <w:link w:val="16"/>
    <w:autoRedefine/>
    <w:qFormat/>
    <w:uiPriority w:val="0"/>
    <w:rPr>
      <w:kern w:val="2"/>
      <w:sz w:val="18"/>
      <w:szCs w:val="18"/>
    </w:rPr>
  </w:style>
  <w:style w:type="character" w:customStyle="1" w:styleId="40">
    <w:name w:val="页脚 Char"/>
    <w:basedOn w:val="28"/>
    <w:link w:val="15"/>
    <w:autoRedefine/>
    <w:qFormat/>
    <w:uiPriority w:val="0"/>
    <w:rPr>
      <w:kern w:val="2"/>
      <w:sz w:val="18"/>
      <w:szCs w:val="18"/>
    </w:rPr>
  </w:style>
  <w:style w:type="character" w:customStyle="1" w:styleId="41">
    <w:name w:val="red"/>
    <w:basedOn w:val="28"/>
    <w:autoRedefine/>
    <w:qFormat/>
    <w:uiPriority w:val="0"/>
    <w:rPr>
      <w:color w:val="CC0000"/>
    </w:rPr>
  </w:style>
  <w:style w:type="character" w:customStyle="1" w:styleId="42">
    <w:name w:val="red1"/>
    <w:basedOn w:val="28"/>
    <w:autoRedefine/>
    <w:qFormat/>
    <w:uiPriority w:val="0"/>
    <w:rPr>
      <w:color w:val="FF0000"/>
      <w:sz w:val="18"/>
      <w:szCs w:val="18"/>
    </w:rPr>
  </w:style>
  <w:style w:type="character" w:customStyle="1" w:styleId="43">
    <w:name w:val="red2"/>
    <w:basedOn w:val="28"/>
    <w:autoRedefine/>
    <w:qFormat/>
    <w:uiPriority w:val="0"/>
    <w:rPr>
      <w:color w:val="FF0000"/>
      <w:sz w:val="18"/>
      <w:szCs w:val="18"/>
    </w:rPr>
  </w:style>
  <w:style w:type="character" w:customStyle="1" w:styleId="44">
    <w:name w:val="red3"/>
    <w:basedOn w:val="28"/>
    <w:autoRedefine/>
    <w:qFormat/>
    <w:uiPriority w:val="0"/>
    <w:rPr>
      <w:color w:val="FF0000"/>
    </w:rPr>
  </w:style>
  <w:style w:type="character" w:customStyle="1" w:styleId="45">
    <w:name w:val="green"/>
    <w:basedOn w:val="28"/>
    <w:autoRedefine/>
    <w:qFormat/>
    <w:uiPriority w:val="0"/>
    <w:rPr>
      <w:color w:val="66AE00"/>
      <w:sz w:val="18"/>
      <w:szCs w:val="18"/>
    </w:rPr>
  </w:style>
  <w:style w:type="character" w:customStyle="1" w:styleId="46">
    <w:name w:val="green1"/>
    <w:basedOn w:val="28"/>
    <w:autoRedefine/>
    <w:qFormat/>
    <w:uiPriority w:val="0"/>
    <w:rPr>
      <w:color w:val="66AE00"/>
      <w:sz w:val="18"/>
      <w:szCs w:val="18"/>
    </w:rPr>
  </w:style>
  <w:style w:type="character" w:customStyle="1" w:styleId="47">
    <w:name w:val="hover25"/>
    <w:basedOn w:val="28"/>
    <w:autoRedefine/>
    <w:qFormat/>
    <w:uiPriority w:val="0"/>
  </w:style>
  <w:style w:type="character" w:customStyle="1" w:styleId="48">
    <w:name w:val="blue"/>
    <w:basedOn w:val="28"/>
    <w:autoRedefine/>
    <w:qFormat/>
    <w:uiPriority w:val="0"/>
    <w:rPr>
      <w:color w:val="0371C6"/>
      <w:sz w:val="21"/>
      <w:szCs w:val="21"/>
    </w:rPr>
  </w:style>
  <w:style w:type="character" w:customStyle="1" w:styleId="49">
    <w:name w:val="gb-jt"/>
    <w:basedOn w:val="28"/>
    <w:autoRedefine/>
    <w:qFormat/>
    <w:uiPriority w:val="0"/>
  </w:style>
  <w:style w:type="character" w:customStyle="1" w:styleId="50">
    <w:name w:val="right"/>
    <w:basedOn w:val="28"/>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28"/>
    <w:link w:val="7"/>
    <w:autoRedefine/>
    <w:qFormat/>
    <w:uiPriority w:val="99"/>
    <w:rPr>
      <w:rFonts w:ascii="仿宋_GB2312" w:eastAsia="仿宋_GB2312" w:cs="仿宋_GB2312" w:hAnsiTheme="minorHAnsi"/>
      <w:sz w:val="28"/>
      <w:szCs w:val="28"/>
    </w:rPr>
  </w:style>
  <w:style w:type="character" w:customStyle="1" w:styleId="57">
    <w:name w:val="批注框文本 Char"/>
    <w:basedOn w:val="28"/>
    <w:link w:val="14"/>
    <w:autoRedefine/>
    <w:qFormat/>
    <w:uiPriority w:val="0"/>
    <w:rPr>
      <w:rFonts w:ascii="宋体" w:hAnsi="Times New Roman"/>
      <w:kern w:val="2"/>
      <w:sz w:val="18"/>
      <w:szCs w:val="18"/>
    </w:rPr>
  </w:style>
  <w:style w:type="character" w:customStyle="1" w:styleId="58">
    <w:name w:val="Unresolved Mention"/>
    <w:basedOn w:val="28"/>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3"/>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28"/>
    <w:link w:val="23"/>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28"/>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21</Pages>
  <Words>4528</Words>
  <Characters>4684</Characters>
  <Lines>30</Lines>
  <Paragraphs>63</Paragraphs>
  <TotalTime>4</TotalTime>
  <ScaleCrop>false</ScaleCrop>
  <LinksUpToDate>false</LinksUpToDate>
  <CharactersWithSpaces>4937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2024-07-01T00:37:00Z</cp:lastPrinted>
  <dcterms:modified xsi:type="dcterms:W3CDTF">2025-04-15T01:08:27Z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A24B4206240A417A8D898D7BD6F66AA6_13</vt:lpwstr>
  </property>
  <property fmtid="{D5CDD505-2E9C-101B-9397-08002B2CF9AE}" pid="4" name="KSOTemplateDocerSaveRecord">
    <vt:lpwstr>eyJoZGlkIjoiMDMwZGM3YTgwNjYzYTQ1M2VjNjE1YTdkNjhkNWNhODciLCJ1c2VySWQiOiIxMzg5MjExMjI0In0=</vt:lpwstr>
  </property>
</Properties>
</file>