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770B94">
      <w:pPr>
        <w:spacing w:line="360" w:lineRule="auto"/>
        <w:jc w:val="right"/>
        <w:outlineLvl w:val="1"/>
        <w:rPr>
          <w:rFonts w:hint="default" w:ascii="Times New Roman" w:hAnsi="Times New Roman" w:eastAsia="仿宋" w:cs="Times New Roman"/>
          <w:b/>
          <w:bCs/>
          <w:caps/>
          <w:color w:val="auto"/>
          <w:sz w:val="28"/>
          <w:szCs w:val="28"/>
          <w:lang w:val="en-US" w:eastAsia="zh-CN"/>
        </w:rPr>
      </w:pPr>
      <w:r>
        <w:rPr>
          <w:rFonts w:hint="default" w:ascii="Times New Roman" w:hAnsi="Times New Roman" w:eastAsia="仿宋" w:cs="Times New Roman"/>
          <w:b/>
          <w:bCs/>
          <w:caps/>
          <w:color w:val="auto"/>
          <w:sz w:val="28"/>
          <w:szCs w:val="28"/>
        </w:rPr>
        <w:t>项目编号：</w:t>
      </w:r>
      <w:r>
        <w:rPr>
          <w:rFonts w:hint="default" w:ascii="Times New Roman" w:hAnsi="Times New Roman" w:eastAsia="仿宋" w:cs="Times New Roman"/>
          <w:b/>
          <w:bCs/>
          <w:caps/>
          <w:color w:val="auto"/>
          <w:sz w:val="28"/>
          <w:szCs w:val="28"/>
          <w:lang w:val="en-US" w:eastAsia="zh-CN"/>
        </w:rPr>
        <w:t>RZB-2025001</w:t>
      </w:r>
      <w:r>
        <w:rPr>
          <w:rFonts w:hint="default" w:ascii="Times New Roman" w:hAnsi="Times New Roman" w:eastAsia="仿宋" w:cs="Times New Roman"/>
          <w:b/>
          <w:bCs/>
          <w:caps/>
          <w:color w:val="auto"/>
          <w:sz w:val="28"/>
          <w:szCs w:val="28"/>
        </w:rPr>
        <w:t xml:space="preserve">号 </w:t>
      </w:r>
    </w:p>
    <w:p w14:paraId="37706AC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72"/>
          <w:szCs w:val="72"/>
          <w:lang w:eastAsia="zh-CN"/>
        </w:rPr>
      </w:pPr>
    </w:p>
    <w:p w14:paraId="01197D5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72"/>
          <w:szCs w:val="72"/>
          <w:lang w:eastAsia="zh-CN"/>
        </w:rPr>
      </w:pPr>
    </w:p>
    <w:p w14:paraId="7D43A8B0">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52"/>
          <w:szCs w:val="52"/>
          <w:lang w:eastAsia="zh-CN"/>
        </w:rPr>
      </w:pPr>
      <w:r>
        <w:rPr>
          <w:rFonts w:hint="default" w:ascii="Times New Roman" w:hAnsi="Times New Roman" w:eastAsia="方正小标宋简体" w:cs="Times New Roman"/>
          <w:b w:val="0"/>
          <w:bCs w:val="0"/>
          <w:sz w:val="52"/>
          <w:szCs w:val="52"/>
          <w:lang w:eastAsia="zh-CN"/>
        </w:rPr>
        <w:t>许昌市城投发展集团有限公司</w:t>
      </w:r>
    </w:p>
    <w:p w14:paraId="452322B7">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val="en-US" w:eastAsia="zh-CN"/>
        </w:rPr>
        <w:t>2025年度非公开发行专项品种公司债券主承销商招标代理机构</w:t>
      </w:r>
    </w:p>
    <w:p w14:paraId="149B6641">
      <w:pPr>
        <w:jc w:val="center"/>
        <w:rPr>
          <w:rFonts w:hint="default" w:ascii="Times New Roman" w:hAnsi="Times New Roman" w:eastAsia="仿宋" w:cs="Times New Roman"/>
          <w:b/>
          <w:color w:val="auto"/>
          <w:spacing w:val="60"/>
          <w:sz w:val="28"/>
          <w:szCs w:val="28"/>
          <w:shd w:val="clear" w:color="060000" w:fill="auto"/>
        </w:rPr>
      </w:pPr>
    </w:p>
    <w:p w14:paraId="7B9ABAE2">
      <w:pPr>
        <w:jc w:val="both"/>
        <w:rPr>
          <w:rFonts w:hint="default" w:ascii="Times New Roman" w:hAnsi="Times New Roman" w:eastAsia="仿宋" w:cs="Times New Roman"/>
          <w:color w:val="auto"/>
          <w:sz w:val="28"/>
          <w:szCs w:val="28"/>
          <w:shd w:val="clear" w:color="050000" w:fill="auto"/>
        </w:rPr>
      </w:pPr>
    </w:p>
    <w:p w14:paraId="723FEDE5">
      <w:pPr>
        <w:jc w:val="center"/>
        <w:rPr>
          <w:rFonts w:hint="default" w:ascii="Times New Roman" w:hAnsi="Times New Roman" w:eastAsia="仿宋" w:cs="Times New Roman"/>
          <w:color w:val="auto"/>
          <w:sz w:val="28"/>
          <w:szCs w:val="28"/>
          <w:shd w:val="clear" w:color="050000" w:fill="auto"/>
        </w:rPr>
      </w:pPr>
    </w:p>
    <w:p w14:paraId="34C9EC2D">
      <w:pPr>
        <w:rPr>
          <w:rFonts w:hint="default" w:ascii="Times New Roman" w:hAnsi="Times New Roman" w:eastAsia="仿宋" w:cs="Times New Roman"/>
          <w:color w:val="auto"/>
          <w:sz w:val="28"/>
          <w:szCs w:val="28"/>
          <w:shd w:val="clear" w:color="050000" w:fill="auto"/>
        </w:rPr>
      </w:pPr>
    </w:p>
    <w:p w14:paraId="123FAA45">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比 选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1A63B612">
      <w:pPr>
        <w:rPr>
          <w:rFonts w:hint="default" w:ascii="Times New Roman" w:hAnsi="Times New Roman" w:eastAsia="仿宋" w:cs="Times New Roman"/>
          <w:color w:val="auto"/>
          <w:sz w:val="28"/>
          <w:szCs w:val="28"/>
          <w:shd w:val="clear" w:color="050000" w:fill="auto"/>
        </w:rPr>
      </w:pPr>
    </w:p>
    <w:p w14:paraId="377FBB84">
      <w:pPr>
        <w:jc w:val="center"/>
        <w:rPr>
          <w:rFonts w:hint="default" w:ascii="Times New Roman" w:hAnsi="Times New Roman" w:eastAsia="仿宋" w:cs="Times New Roman"/>
          <w:color w:val="auto"/>
          <w:sz w:val="28"/>
          <w:szCs w:val="28"/>
          <w:shd w:val="clear" w:color="050000" w:fill="auto"/>
        </w:rPr>
      </w:pPr>
    </w:p>
    <w:p w14:paraId="22FA25F7">
      <w:pPr>
        <w:pStyle w:val="38"/>
        <w:jc w:val="both"/>
        <w:rPr>
          <w:rFonts w:hint="default" w:ascii="Times New Roman" w:hAnsi="Times New Roman" w:eastAsia="仿宋" w:cs="Times New Roman"/>
          <w:color w:val="auto"/>
          <w:sz w:val="28"/>
          <w:szCs w:val="28"/>
          <w:shd w:val="clear" w:color="050000" w:fill="auto"/>
        </w:rPr>
      </w:pPr>
    </w:p>
    <w:p w14:paraId="56374F39">
      <w:pPr>
        <w:jc w:val="center"/>
        <w:rPr>
          <w:rFonts w:hint="default" w:ascii="Times New Roman" w:hAnsi="Times New Roman" w:eastAsia="仿宋" w:cs="Times New Roman"/>
          <w:color w:val="auto"/>
          <w:sz w:val="28"/>
          <w:szCs w:val="28"/>
          <w:shd w:val="clear" w:color="050000" w:fill="auto"/>
        </w:rPr>
      </w:pPr>
    </w:p>
    <w:p w14:paraId="514FA0DA">
      <w:pPr>
        <w:jc w:val="center"/>
        <w:rPr>
          <w:rFonts w:hint="default" w:ascii="Times New Roman" w:hAnsi="Times New Roman" w:eastAsia="仿宋" w:cs="Times New Roman"/>
          <w:color w:val="auto"/>
          <w:sz w:val="28"/>
          <w:szCs w:val="28"/>
          <w:shd w:val="clear" w:color="050000" w:fill="auto"/>
        </w:rPr>
      </w:pPr>
    </w:p>
    <w:p w14:paraId="63AF4783">
      <w:pPr>
        <w:spacing w:line="360" w:lineRule="auto"/>
        <w:jc w:val="center"/>
        <w:rPr>
          <w:rFonts w:hint="default" w:ascii="Times New Roman" w:hAnsi="Times New Roman" w:eastAsia="仿宋" w:cs="Times New Roman"/>
          <w:b/>
          <w:bCs/>
          <w:caps/>
          <w:color w:val="auto"/>
          <w:sz w:val="36"/>
          <w:szCs w:val="36"/>
        </w:rPr>
      </w:pPr>
      <w:r>
        <w:rPr>
          <w:rFonts w:hint="default" w:ascii="Times New Roman" w:hAnsi="Times New Roman" w:eastAsia="仿宋" w:cs="Times New Roman"/>
          <w:b/>
          <w:bCs/>
          <w:caps/>
          <w:color w:val="auto"/>
          <w:sz w:val="36"/>
          <w:szCs w:val="36"/>
          <w:lang w:val="en-US" w:eastAsia="zh-CN"/>
        </w:rPr>
        <w:t>比选单位</w:t>
      </w:r>
      <w:r>
        <w:rPr>
          <w:rFonts w:hint="default" w:ascii="Times New Roman" w:hAnsi="Times New Roman" w:eastAsia="仿宋" w:cs="Times New Roman"/>
          <w:b/>
          <w:bCs/>
          <w:caps/>
          <w:color w:val="auto"/>
          <w:sz w:val="36"/>
          <w:szCs w:val="36"/>
        </w:rPr>
        <w:t>：许昌市城投发展集团有限公司</w:t>
      </w:r>
    </w:p>
    <w:p w14:paraId="559E86D3">
      <w:pPr>
        <w:spacing w:line="360" w:lineRule="auto"/>
        <w:jc w:val="center"/>
        <w:rPr>
          <w:rFonts w:hint="default" w:ascii="Times New Roman" w:hAnsi="Times New Roman" w:eastAsia="仿宋" w:cs="Times New Roman"/>
          <w:b/>
          <w:color w:val="auto"/>
          <w:sz w:val="36"/>
          <w:szCs w:val="36"/>
          <w:shd w:val="clear" w:color="060000" w:fill="auto"/>
        </w:rPr>
      </w:pPr>
    </w:p>
    <w:p w14:paraId="419F88E9">
      <w:pPr>
        <w:spacing w:line="360" w:lineRule="auto"/>
        <w:jc w:val="center"/>
        <w:rPr>
          <w:rFonts w:hint="default" w:ascii="Times New Roman" w:hAnsi="Times New Roman" w:eastAsia="仿宋" w:cs="Times New Roman"/>
          <w:color w:val="auto"/>
          <w:sz w:val="36"/>
          <w:szCs w:val="36"/>
          <w:shd w:val="clear" w:color="050000" w:fill="auto"/>
        </w:rPr>
      </w:pPr>
      <w:r>
        <w:rPr>
          <w:rFonts w:hint="default" w:ascii="Times New Roman" w:hAnsi="Times New Roman" w:eastAsia="仿宋" w:cs="Times New Roman"/>
          <w:b/>
          <w:color w:val="auto"/>
          <w:sz w:val="36"/>
          <w:szCs w:val="36"/>
          <w:shd w:val="clear" w:color="060000" w:fill="auto"/>
        </w:rPr>
        <w:t>二〇二</w:t>
      </w:r>
      <w:r>
        <w:rPr>
          <w:rFonts w:hint="default" w:ascii="Times New Roman" w:hAnsi="Times New Roman" w:eastAsia="仿宋" w:cs="Times New Roman"/>
          <w:b/>
          <w:color w:val="auto"/>
          <w:sz w:val="36"/>
          <w:szCs w:val="36"/>
          <w:shd w:val="clear" w:color="060000" w:fill="auto"/>
          <w:lang w:eastAsia="zh-CN"/>
        </w:rPr>
        <w:t>五</w:t>
      </w:r>
      <w:r>
        <w:rPr>
          <w:rFonts w:hint="default" w:ascii="Times New Roman" w:hAnsi="Times New Roman" w:eastAsia="仿宋" w:cs="Times New Roman"/>
          <w:b/>
          <w:color w:val="auto"/>
          <w:sz w:val="36"/>
          <w:szCs w:val="36"/>
          <w:shd w:val="clear" w:color="060000" w:fill="auto"/>
        </w:rPr>
        <w:t>年</w:t>
      </w:r>
      <w:r>
        <w:rPr>
          <w:rFonts w:hint="default" w:ascii="Times New Roman" w:hAnsi="Times New Roman" w:eastAsia="仿宋" w:cs="Times New Roman"/>
          <w:b/>
          <w:color w:val="auto"/>
          <w:sz w:val="36"/>
          <w:szCs w:val="36"/>
          <w:shd w:val="clear" w:color="060000" w:fill="auto"/>
          <w:lang w:eastAsia="zh-CN"/>
        </w:rPr>
        <w:t>四</w:t>
      </w:r>
      <w:r>
        <w:rPr>
          <w:rFonts w:hint="default" w:ascii="Times New Roman" w:hAnsi="Times New Roman" w:eastAsia="仿宋" w:cs="Times New Roman"/>
          <w:b/>
          <w:color w:val="auto"/>
          <w:sz w:val="36"/>
          <w:szCs w:val="36"/>
          <w:shd w:val="clear" w:color="060000" w:fill="auto"/>
        </w:rPr>
        <w:t>月</w:t>
      </w:r>
    </w:p>
    <w:p w14:paraId="65CA119F">
      <w:pPr>
        <w:pStyle w:val="24"/>
        <w:ind w:firstLine="0" w:firstLineChars="0"/>
        <w:rPr>
          <w:rFonts w:hint="default" w:ascii="Times New Roman" w:hAnsi="Times New Roman" w:eastAsia="仿宋" w:cs="Times New Roman"/>
          <w:color w:val="auto"/>
          <w:sz w:val="24"/>
          <w:szCs w:val="24"/>
        </w:rPr>
      </w:pPr>
    </w:p>
    <w:p w14:paraId="52B04E64">
      <w:pPr>
        <w:spacing w:line="700" w:lineRule="auto"/>
        <w:ind w:firstLine="551"/>
        <w:jc w:val="center"/>
        <w:rPr>
          <w:rFonts w:hint="default" w:ascii="Times New Roman" w:hAnsi="Times New Roman" w:eastAsia="仿宋" w:cs="Times New Roman"/>
          <w:b/>
          <w:color w:val="auto"/>
          <w:sz w:val="40"/>
          <w:szCs w:val="40"/>
          <w:shd w:val="clear" w:color="060000"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17C542F6">
      <w:pPr>
        <w:keepNext w:val="0"/>
        <w:keepLines w:val="0"/>
        <w:pageBreakBefore w:val="0"/>
        <w:widowControl/>
        <w:kinsoku/>
        <w:wordWrap/>
        <w:overflowPunct/>
        <w:topLinePunct w:val="0"/>
        <w:autoSpaceDE/>
        <w:autoSpaceDN/>
        <w:bidi w:val="0"/>
        <w:adjustRightInd/>
        <w:snapToGrid/>
        <w:spacing w:line="720" w:lineRule="auto"/>
        <w:ind w:firstLine="551"/>
        <w:jc w:val="center"/>
        <w:textAlignment w:val="auto"/>
        <w:rPr>
          <w:rFonts w:hint="default" w:ascii="Times New Roman" w:hAnsi="Times New Roman" w:eastAsia="仿宋" w:cs="Times New Roman"/>
          <w:color w:val="auto"/>
          <w:sz w:val="40"/>
          <w:szCs w:val="40"/>
          <w:shd w:val="clear" w:color="060000" w:fill="auto"/>
        </w:rPr>
      </w:pPr>
      <w:r>
        <w:rPr>
          <w:rFonts w:hint="default" w:ascii="Times New Roman" w:hAnsi="Times New Roman" w:eastAsia="仿宋" w:cs="Times New Roman"/>
          <w:b/>
          <w:color w:val="auto"/>
          <w:sz w:val="40"/>
          <w:szCs w:val="40"/>
          <w:shd w:val="clear" w:color="060000" w:fill="auto"/>
          <w:lang w:eastAsia="zh-CN"/>
        </w:rPr>
        <w:t>比选文件</w:t>
      </w:r>
      <w:r>
        <w:rPr>
          <w:rFonts w:hint="default" w:ascii="Times New Roman" w:hAnsi="Times New Roman" w:eastAsia="仿宋" w:cs="Times New Roman"/>
          <w:b/>
          <w:color w:val="auto"/>
          <w:sz w:val="40"/>
          <w:szCs w:val="40"/>
          <w:shd w:val="clear" w:color="060000" w:fill="auto"/>
        </w:rPr>
        <w:t>目录</w:t>
      </w:r>
    </w:p>
    <w:p w14:paraId="68A29D14">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rPr>
      </w:pPr>
    </w:p>
    <w:p w14:paraId="53948BC8">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lang w:eastAsia="zh-CN"/>
        </w:rPr>
      </w:pPr>
      <w:r>
        <w:rPr>
          <w:rFonts w:hint="default" w:ascii="Times New Roman" w:hAnsi="Times New Roman" w:eastAsia="仿宋" w:cs="Times New Roman"/>
          <w:b/>
          <w:color w:val="auto"/>
          <w:sz w:val="32"/>
          <w:szCs w:val="32"/>
          <w:shd w:val="clear" w:color="060000" w:fill="auto"/>
        </w:rPr>
        <w:t xml:space="preserve">第一章 </w:t>
      </w:r>
      <w:r>
        <w:rPr>
          <w:rFonts w:hint="default" w:ascii="Times New Roman" w:hAnsi="Times New Roman" w:eastAsia="仿宋" w:cs="Times New Roman"/>
          <w:b/>
          <w:color w:val="auto"/>
          <w:sz w:val="32"/>
          <w:szCs w:val="32"/>
          <w:shd w:val="clear" w:color="060000" w:fill="auto"/>
          <w:lang w:val="en-US" w:eastAsia="zh-CN"/>
        </w:rPr>
        <w:t>比选邀请函</w:t>
      </w:r>
    </w:p>
    <w:p w14:paraId="4B1D4372">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lang w:val="en-US" w:eastAsia="zh-CN"/>
        </w:rPr>
      </w:pPr>
      <w:r>
        <w:rPr>
          <w:rFonts w:hint="default" w:ascii="Times New Roman" w:hAnsi="Times New Roman" w:eastAsia="仿宋" w:cs="Times New Roman"/>
          <w:b/>
          <w:color w:val="auto"/>
          <w:sz w:val="32"/>
          <w:szCs w:val="32"/>
          <w:shd w:val="clear" w:color="060000" w:fill="auto"/>
          <w:lang w:eastAsia="zh-CN"/>
        </w:rPr>
        <w:t>第二章</w:t>
      </w:r>
      <w:r>
        <w:rPr>
          <w:rFonts w:hint="default" w:ascii="Times New Roman" w:hAnsi="Times New Roman" w:eastAsia="仿宋" w:cs="Times New Roman"/>
          <w:b/>
          <w:color w:val="auto"/>
          <w:sz w:val="32"/>
          <w:szCs w:val="32"/>
          <w:shd w:val="clear" w:color="060000" w:fill="auto"/>
          <w:lang w:val="en-US" w:eastAsia="zh-CN"/>
        </w:rPr>
        <w:t xml:space="preserve"> 采购需求</w:t>
      </w:r>
    </w:p>
    <w:p w14:paraId="37B65DFB">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rPr>
      </w:pPr>
      <w:r>
        <w:rPr>
          <w:rFonts w:hint="default" w:ascii="Times New Roman" w:hAnsi="Times New Roman" w:eastAsia="仿宋" w:cs="Times New Roman"/>
          <w:b/>
          <w:color w:val="auto"/>
          <w:sz w:val="32"/>
          <w:szCs w:val="32"/>
          <w:shd w:val="clear" w:color="060000" w:fill="auto"/>
        </w:rPr>
        <w:t>第</w:t>
      </w:r>
      <w:r>
        <w:rPr>
          <w:rFonts w:hint="default" w:ascii="Times New Roman" w:hAnsi="Times New Roman" w:eastAsia="仿宋" w:cs="Times New Roman"/>
          <w:b/>
          <w:color w:val="auto"/>
          <w:sz w:val="32"/>
          <w:szCs w:val="32"/>
          <w:shd w:val="clear" w:color="060000" w:fill="auto"/>
          <w:lang w:eastAsia="zh-CN"/>
        </w:rPr>
        <w:t>三</w:t>
      </w:r>
      <w:r>
        <w:rPr>
          <w:rFonts w:hint="default" w:ascii="Times New Roman" w:hAnsi="Times New Roman" w:eastAsia="仿宋" w:cs="Times New Roman"/>
          <w:b/>
          <w:color w:val="auto"/>
          <w:sz w:val="32"/>
          <w:szCs w:val="32"/>
          <w:shd w:val="clear" w:color="060000" w:fill="auto"/>
        </w:rPr>
        <w:t xml:space="preserve">章 </w:t>
      </w:r>
      <w:r>
        <w:rPr>
          <w:rFonts w:hint="default" w:ascii="Times New Roman" w:hAnsi="Times New Roman" w:eastAsia="仿宋" w:cs="Times New Roman"/>
          <w:b/>
          <w:color w:val="auto"/>
          <w:sz w:val="32"/>
          <w:szCs w:val="32"/>
          <w:shd w:val="clear" w:color="060000" w:fill="auto"/>
          <w:lang w:eastAsia="zh-CN"/>
        </w:rPr>
        <w:t>投标人</w:t>
      </w:r>
      <w:r>
        <w:rPr>
          <w:rFonts w:hint="default" w:ascii="Times New Roman" w:hAnsi="Times New Roman" w:eastAsia="仿宋" w:cs="Times New Roman"/>
          <w:b/>
          <w:color w:val="auto"/>
          <w:sz w:val="32"/>
          <w:szCs w:val="32"/>
          <w:shd w:val="clear" w:color="060000" w:fill="auto"/>
        </w:rPr>
        <w:t>须知</w:t>
      </w:r>
    </w:p>
    <w:p w14:paraId="4F7CB83E">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lang w:val="en-US" w:eastAsia="zh-CN"/>
        </w:rPr>
      </w:pPr>
      <w:r>
        <w:rPr>
          <w:rFonts w:hint="default" w:ascii="Times New Roman" w:hAnsi="Times New Roman" w:eastAsia="仿宋" w:cs="Times New Roman"/>
          <w:b/>
          <w:color w:val="auto"/>
          <w:sz w:val="32"/>
          <w:szCs w:val="32"/>
          <w:shd w:val="clear" w:color="060000" w:fill="auto"/>
          <w:lang w:eastAsia="zh-CN"/>
        </w:rPr>
        <w:t>第四章</w:t>
      </w:r>
      <w:r>
        <w:rPr>
          <w:rFonts w:hint="default" w:ascii="Times New Roman" w:hAnsi="Times New Roman" w:eastAsia="仿宋" w:cs="Times New Roman"/>
          <w:b/>
          <w:color w:val="auto"/>
          <w:sz w:val="32"/>
          <w:szCs w:val="32"/>
          <w:shd w:val="clear" w:color="060000" w:fill="auto"/>
          <w:lang w:val="en-US" w:eastAsia="zh-CN"/>
        </w:rPr>
        <w:t xml:space="preserve"> 评分办法</w:t>
      </w:r>
    </w:p>
    <w:p w14:paraId="137335B8">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rPr>
      </w:pPr>
      <w:r>
        <w:rPr>
          <w:rFonts w:hint="default" w:ascii="Times New Roman" w:hAnsi="Times New Roman" w:eastAsia="仿宋" w:cs="Times New Roman"/>
          <w:b/>
          <w:color w:val="auto"/>
          <w:sz w:val="32"/>
          <w:szCs w:val="32"/>
          <w:shd w:val="clear" w:color="060000" w:fill="auto"/>
        </w:rPr>
        <w:t>第</w:t>
      </w:r>
      <w:r>
        <w:rPr>
          <w:rFonts w:hint="default" w:ascii="Times New Roman" w:hAnsi="Times New Roman" w:eastAsia="仿宋" w:cs="Times New Roman"/>
          <w:b/>
          <w:color w:val="auto"/>
          <w:sz w:val="32"/>
          <w:szCs w:val="32"/>
          <w:shd w:val="clear" w:color="060000" w:fill="auto"/>
          <w:lang w:eastAsia="zh-CN"/>
        </w:rPr>
        <w:t>五</w:t>
      </w:r>
      <w:r>
        <w:rPr>
          <w:rFonts w:hint="default" w:ascii="Times New Roman" w:hAnsi="Times New Roman" w:eastAsia="仿宋" w:cs="Times New Roman"/>
          <w:b/>
          <w:color w:val="auto"/>
          <w:sz w:val="32"/>
          <w:szCs w:val="32"/>
          <w:shd w:val="clear" w:color="060000" w:fill="auto"/>
        </w:rPr>
        <w:t xml:space="preserve">章 </w:t>
      </w:r>
      <w:r>
        <w:rPr>
          <w:rFonts w:hint="default" w:ascii="Times New Roman" w:hAnsi="Times New Roman" w:eastAsia="仿宋" w:cs="Times New Roman"/>
          <w:b/>
          <w:color w:val="auto"/>
          <w:sz w:val="32"/>
          <w:szCs w:val="32"/>
          <w:shd w:val="clear" w:color="060000" w:fill="auto"/>
          <w:lang w:eastAsia="zh-CN"/>
        </w:rPr>
        <w:t>投标文件</w:t>
      </w:r>
      <w:r>
        <w:rPr>
          <w:rFonts w:hint="default" w:ascii="Times New Roman" w:hAnsi="Times New Roman" w:eastAsia="仿宋" w:cs="Times New Roman"/>
          <w:b/>
          <w:color w:val="auto"/>
          <w:sz w:val="32"/>
          <w:szCs w:val="32"/>
          <w:shd w:val="clear" w:color="060000" w:fill="auto"/>
        </w:rPr>
        <w:t>有关格式</w:t>
      </w:r>
    </w:p>
    <w:p w14:paraId="38AFDB6E">
      <w:pPr>
        <w:jc w:val="left"/>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0506502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第一章 比选邀请函</w:t>
      </w:r>
    </w:p>
    <w:p w14:paraId="455D09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许昌市城投发展集团有限公司</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人）拟通过</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的方式选聘</w:t>
      </w:r>
      <w:r>
        <w:rPr>
          <w:rFonts w:hint="default" w:ascii="Times New Roman" w:hAnsi="Times New Roman" w:eastAsia="仿宋_GB2312" w:cs="Times New Roman"/>
          <w:sz w:val="32"/>
          <w:szCs w:val="32"/>
          <w:lang w:val="en-US" w:eastAsia="zh-CN"/>
        </w:rPr>
        <w:t>1家2025年度非公开发行专项品种公司债券主承销商招标代理机构，以便顺利完成2025年度非公开发行专项品种公司债券主承销商招标项目招标工作</w:t>
      </w:r>
      <w:r>
        <w:rPr>
          <w:rFonts w:hint="default" w:ascii="Times New Roman" w:hAnsi="Times New Roman" w:eastAsia="仿宋_GB2312" w:cs="Times New Roman"/>
          <w:sz w:val="32"/>
          <w:szCs w:val="32"/>
        </w:rPr>
        <w:t>，现诚邀符合资格条件的</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申请人参加。</w:t>
      </w:r>
    </w:p>
    <w:p w14:paraId="79C27CA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一、</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lang w:val="en-US" w:eastAsia="zh-CN"/>
        </w:rPr>
        <w:t>项目</w:t>
      </w:r>
      <w:r>
        <w:rPr>
          <w:rFonts w:hint="default" w:ascii="Times New Roman" w:hAnsi="Times New Roman" w:eastAsia="仿宋_GB2312" w:cs="Times New Roman"/>
          <w:b/>
          <w:bCs w:val="0"/>
          <w:sz w:val="32"/>
          <w:szCs w:val="32"/>
        </w:rPr>
        <w:t>概况</w:t>
      </w:r>
    </w:p>
    <w:p w14:paraId="7359AA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比选项目名称：</w:t>
      </w:r>
      <w:r>
        <w:rPr>
          <w:rFonts w:hint="default" w:ascii="Times New Roman" w:hAnsi="Times New Roman" w:eastAsia="仿宋_GB2312" w:cs="Times New Roman"/>
          <w:sz w:val="32"/>
          <w:szCs w:val="32"/>
          <w:lang w:val="en-US" w:eastAsia="zh-CN"/>
        </w:rPr>
        <w:t>许昌市城投发展集团有限公司2025年度非公开发行专项品种公司债券主承销商招标代理机构比选项目</w:t>
      </w:r>
    </w:p>
    <w:p w14:paraId="684954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比选事项：</w:t>
      </w:r>
      <w:r>
        <w:rPr>
          <w:rFonts w:hint="default" w:ascii="Times New Roman" w:hAnsi="Times New Roman" w:eastAsia="仿宋_GB2312" w:cs="Times New Roman"/>
          <w:b w:val="0"/>
          <w:bCs w:val="0"/>
          <w:sz w:val="32"/>
          <w:szCs w:val="32"/>
          <w:lang w:val="en-US" w:eastAsia="zh-CN"/>
        </w:rPr>
        <w:t>选取1家招标代理服务机构</w:t>
      </w:r>
    </w:p>
    <w:p w14:paraId="6CBF5A3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比选人</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val="en-US" w:eastAsia="zh-CN"/>
        </w:rPr>
        <w:t>许昌市城投发展集团有限公司</w:t>
      </w:r>
    </w:p>
    <w:p w14:paraId="75CBBE8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lang w:eastAsia="zh-CN"/>
        </w:rPr>
        <w:t>服务内容</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val="0"/>
          <w:bCs w:val="0"/>
          <w:sz w:val="32"/>
          <w:szCs w:val="32"/>
          <w:lang w:eastAsia="zh-CN"/>
        </w:rPr>
        <w:t>根据比选人直接债务融资工具主承销商招标管理办法和国有企业招标相关要求，为比选人组织非公开发行专项品种公司债券主承销商招标提供代理服务、配套服务、手续办理、资料整理、拟定合同文件、提供开标场地等相关工作。</w:t>
      </w:r>
    </w:p>
    <w:p w14:paraId="674774D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二、</w:t>
      </w:r>
      <w:r>
        <w:rPr>
          <w:rFonts w:hint="default" w:ascii="Times New Roman" w:hAnsi="Times New Roman" w:eastAsia="仿宋_GB2312" w:cs="Times New Roman"/>
          <w:b/>
          <w:bCs/>
          <w:sz w:val="32"/>
          <w:szCs w:val="32"/>
          <w:lang w:eastAsia="zh-CN"/>
        </w:rPr>
        <w:t>招标代理</w:t>
      </w:r>
      <w:r>
        <w:rPr>
          <w:rFonts w:hint="default" w:ascii="Times New Roman" w:hAnsi="Times New Roman" w:eastAsia="仿宋_GB2312" w:cs="Times New Roman"/>
          <w:b/>
          <w:bCs/>
          <w:sz w:val="32"/>
          <w:szCs w:val="32"/>
        </w:rPr>
        <w:t>服务</w:t>
      </w:r>
      <w:r>
        <w:rPr>
          <w:rFonts w:hint="default" w:ascii="Times New Roman" w:hAnsi="Times New Roman" w:eastAsia="仿宋_GB2312" w:cs="Times New Roman"/>
          <w:b/>
          <w:bCs/>
          <w:sz w:val="32"/>
          <w:szCs w:val="32"/>
          <w:lang w:eastAsia="zh-CN"/>
        </w:rPr>
        <w:t>需求</w:t>
      </w:r>
    </w:p>
    <w:p w14:paraId="0A8050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协助比选人编制</w:t>
      </w:r>
      <w:r>
        <w:rPr>
          <w:rFonts w:hint="default" w:ascii="Times New Roman" w:hAnsi="Times New Roman" w:eastAsia="仿宋_GB2312" w:cs="Times New Roman"/>
          <w:sz w:val="32"/>
          <w:szCs w:val="32"/>
          <w:lang w:val="en-US" w:eastAsia="zh-CN"/>
        </w:rPr>
        <w:t>许昌市城投发展集团有限公司2025年度非公开发行专项品种公司债券主承销商招标项目招标文件</w:t>
      </w:r>
      <w:r>
        <w:rPr>
          <w:rFonts w:hint="default" w:ascii="Times New Roman" w:hAnsi="Times New Roman" w:eastAsia="仿宋_GB2312" w:cs="Times New Roman"/>
          <w:sz w:val="32"/>
          <w:szCs w:val="32"/>
          <w:lang w:eastAsia="zh-CN"/>
        </w:rPr>
        <w:t>；</w:t>
      </w:r>
    </w:p>
    <w:p w14:paraId="595F7A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提供开标场所并具备全程录音录像条件；</w:t>
      </w:r>
    </w:p>
    <w:p w14:paraId="5FE8F7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建立外部评审专家库，具备抽取评审专家条件，同时外部评审专家库专家参评时必须在河南省综合评标或政府采购评审专家库中；</w:t>
      </w:r>
    </w:p>
    <w:p w14:paraId="6D6918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协助比选人在中国招标投标公共服务平台等至少</w:t>
      </w:r>
      <w:r>
        <w:rPr>
          <w:rFonts w:hint="default" w:ascii="Times New Roman" w:hAnsi="Times New Roman" w:eastAsia="仿宋_GB2312" w:cs="Times New Roman"/>
          <w:sz w:val="32"/>
          <w:szCs w:val="32"/>
          <w:lang w:val="en-US" w:eastAsia="zh-CN"/>
        </w:rPr>
        <w:t>2家以上公共媒体发布招标公告</w:t>
      </w:r>
      <w:r>
        <w:rPr>
          <w:rFonts w:hint="default" w:ascii="Times New Roman" w:hAnsi="Times New Roman" w:eastAsia="仿宋_GB2312" w:cs="Times New Roman"/>
          <w:sz w:val="32"/>
          <w:szCs w:val="32"/>
          <w:lang w:eastAsia="zh-CN"/>
        </w:rPr>
        <w:t>；</w:t>
      </w:r>
    </w:p>
    <w:p w14:paraId="783425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协助比选人办理、整理、收集招标过程中所需的材料，并在招标结束后按照比选人要求整理全过程招标材料形成文件汇编、提供录音录像等电子文件；</w:t>
      </w:r>
    </w:p>
    <w:p w14:paraId="7B89C8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6</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其他在招标过程中需要配合、协助比选人的事项。</w:t>
      </w:r>
    </w:p>
    <w:p w14:paraId="5A182F9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三、</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人要求</w:t>
      </w:r>
    </w:p>
    <w:p w14:paraId="14BBC1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参与此次</w:t>
      </w:r>
      <w:r>
        <w:rPr>
          <w:rFonts w:hint="default" w:ascii="Times New Roman" w:hAnsi="Times New Roman" w:eastAsia="仿宋_GB2312" w:cs="Times New Roman"/>
          <w:sz w:val="32"/>
          <w:szCs w:val="32"/>
          <w:highlight w:val="none"/>
          <w:lang w:eastAsia="zh-CN"/>
        </w:rPr>
        <w:t>比选的投标人</w:t>
      </w:r>
      <w:r>
        <w:rPr>
          <w:rFonts w:hint="default" w:ascii="Times New Roman" w:hAnsi="Times New Roman" w:eastAsia="仿宋_GB2312" w:cs="Times New Roman"/>
          <w:sz w:val="32"/>
          <w:szCs w:val="32"/>
          <w:highlight w:val="none"/>
        </w:rPr>
        <w:t>应具备以下条件：</w:t>
      </w:r>
    </w:p>
    <w:p w14:paraId="627C28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在中华人民共和国境内注册，</w:t>
      </w:r>
      <w:r>
        <w:rPr>
          <w:rFonts w:hint="default" w:ascii="Times New Roman" w:hAnsi="Times New Roman" w:eastAsia="仿宋_GB2312" w:cs="Times New Roman"/>
          <w:sz w:val="32"/>
          <w:szCs w:val="32"/>
          <w:highlight w:val="none"/>
          <w:lang w:eastAsia="zh-CN"/>
        </w:rPr>
        <w:t>具备独立法人资格，持有合法有效的企业法人营业执照；</w:t>
      </w:r>
    </w:p>
    <w:p w14:paraId="5B95E0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符合《中华人民共和国招投标法》第十三条等相关规定</w:t>
      </w:r>
      <w:r>
        <w:rPr>
          <w:rFonts w:hint="default" w:ascii="Times New Roman" w:hAnsi="Times New Roman" w:eastAsia="仿宋_GB2312" w:cs="Times New Roman"/>
          <w:sz w:val="32"/>
          <w:szCs w:val="32"/>
          <w:highlight w:val="none"/>
        </w:rPr>
        <w:t>；</w:t>
      </w:r>
    </w:p>
    <w:p w14:paraId="31F3F8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近三年未因重大的执业质量等问题被责令停业，没有处于破产或存在其他违法行为；</w:t>
      </w:r>
    </w:p>
    <w:p w14:paraId="7848C4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未</w:t>
      </w:r>
      <w:r>
        <w:rPr>
          <w:rFonts w:hint="default" w:ascii="Times New Roman" w:hAnsi="Times New Roman" w:eastAsia="仿宋_GB2312" w:cs="Times New Roman"/>
          <w:sz w:val="32"/>
          <w:szCs w:val="32"/>
          <w:highlight w:val="none"/>
          <w:lang w:val="en-US" w:eastAsia="zh-CN"/>
        </w:rPr>
        <w:t>被列入经营异常名录或者严重违法失信名单、失信被执行人，重大税收违法案件当事人名单、政府采购严重违法失信行为记录名单</w:t>
      </w:r>
      <w:r>
        <w:rPr>
          <w:rFonts w:hint="default" w:ascii="Times New Roman" w:hAnsi="Times New Roman" w:eastAsia="仿宋_GB2312" w:cs="Times New Roman"/>
          <w:sz w:val="32"/>
          <w:szCs w:val="32"/>
          <w:highlight w:val="none"/>
        </w:rPr>
        <w:t>。</w:t>
      </w:r>
    </w:p>
    <w:p w14:paraId="47C217A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四、</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文件要求</w:t>
      </w:r>
    </w:p>
    <w:p w14:paraId="79A7F8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按照比选文件第五章要求提供。</w:t>
      </w:r>
    </w:p>
    <w:p w14:paraId="2D91F0E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五、</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文件的递交</w:t>
      </w:r>
    </w:p>
    <w:p w14:paraId="4B1F42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lang w:val="en-US" w:eastAsia="zh-CN"/>
        </w:rPr>
        <w:t>18:00</w:t>
      </w:r>
      <w:r>
        <w:rPr>
          <w:rFonts w:hint="default" w:ascii="Times New Roman" w:hAnsi="Times New Roman" w:eastAsia="仿宋_GB2312" w:cs="Times New Roman"/>
          <w:sz w:val="32"/>
          <w:szCs w:val="32"/>
        </w:rPr>
        <w:t>前将</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送达（邮寄）</w:t>
      </w:r>
      <w:r>
        <w:rPr>
          <w:rFonts w:hint="default" w:ascii="Times New Roman" w:hAnsi="Times New Roman" w:eastAsia="仿宋_GB2312" w:cs="Times New Roman"/>
          <w:sz w:val="32"/>
          <w:szCs w:val="32"/>
        </w:rPr>
        <w:t>至：许昌市建安大道东段财政综合楼</w:t>
      </w:r>
      <w:r>
        <w:rPr>
          <w:rFonts w:hint="default" w:ascii="Times New Roman" w:hAnsi="Times New Roman" w:eastAsia="仿宋_GB2312" w:cs="Times New Roman"/>
          <w:sz w:val="32"/>
          <w:szCs w:val="32"/>
          <w:lang w:eastAsia="zh-CN"/>
        </w:rPr>
        <w:t>许昌市城投发展集团有限公司</w:t>
      </w:r>
      <w:r>
        <w:rPr>
          <w:rFonts w:hint="default" w:ascii="Times New Roman" w:hAnsi="Times New Roman" w:eastAsia="仿宋_GB2312" w:cs="Times New Roman"/>
          <w:sz w:val="32"/>
          <w:szCs w:val="32"/>
        </w:rPr>
        <w:t>（81</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室）。</w:t>
      </w:r>
    </w:p>
    <w:p w14:paraId="64ED1D4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六、</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rPr>
        <w:t>办法</w:t>
      </w:r>
    </w:p>
    <w:p w14:paraId="442E77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遵循公正、公平的原则，严格按照法律法规要求进行</w:t>
      </w:r>
      <w:r>
        <w:rPr>
          <w:rFonts w:hint="default" w:ascii="Times New Roman" w:hAnsi="Times New Roman" w:eastAsia="仿宋_GB2312" w:cs="Times New Roman"/>
          <w:sz w:val="32"/>
          <w:szCs w:val="32"/>
          <w:lang w:eastAsia="zh-CN"/>
        </w:rPr>
        <w:t>；</w:t>
      </w:r>
    </w:p>
    <w:p w14:paraId="683021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采用综合评分法，按得分由高到低确定候选人，如最高得分为两家或两家以上时，由</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人组成的磋商小组进行磋商确定。</w:t>
      </w:r>
    </w:p>
    <w:p w14:paraId="4321654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七、注意事项</w:t>
      </w:r>
    </w:p>
    <w:p w14:paraId="042AAB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人须按照要求提供</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w:t>
      </w:r>
    </w:p>
    <w:p w14:paraId="2B91BE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如</w:t>
      </w:r>
      <w:r>
        <w:rPr>
          <w:rFonts w:hint="default" w:ascii="Times New Roman" w:hAnsi="Times New Roman" w:eastAsia="仿宋_GB2312" w:cs="Times New Roman"/>
          <w:sz w:val="32"/>
          <w:szCs w:val="32"/>
          <w:lang w:eastAsia="zh-CN"/>
        </w:rPr>
        <w:t>中标人</w:t>
      </w:r>
      <w:r>
        <w:rPr>
          <w:rFonts w:hint="default" w:ascii="Times New Roman" w:hAnsi="Times New Roman" w:eastAsia="仿宋_GB2312" w:cs="Times New Roman"/>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人有权选用其他</w:t>
      </w:r>
      <w:r>
        <w:rPr>
          <w:rFonts w:hint="default" w:ascii="Times New Roman" w:hAnsi="Times New Roman" w:eastAsia="仿宋_GB2312" w:cs="Times New Roman"/>
          <w:sz w:val="32"/>
          <w:szCs w:val="32"/>
          <w:lang w:eastAsia="zh-CN"/>
        </w:rPr>
        <w:t>中标候选人或重新组织比选</w:t>
      </w:r>
      <w:r>
        <w:rPr>
          <w:rFonts w:hint="default" w:ascii="Times New Roman" w:hAnsi="Times New Roman" w:eastAsia="仿宋_GB2312" w:cs="Times New Roman"/>
          <w:sz w:val="32"/>
          <w:szCs w:val="32"/>
        </w:rPr>
        <w:t>。</w:t>
      </w:r>
    </w:p>
    <w:p w14:paraId="1CD9CD5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lang w:eastAsia="zh-CN"/>
        </w:rPr>
        <w:t>八、比选控制价</w:t>
      </w:r>
    </w:p>
    <w:p w14:paraId="7FB6B7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本次比选人比选控制价依据《国家计委关于印发</w:t>
      </w:r>
      <w:r>
        <w:rPr>
          <w:rFonts w:hint="default" w:ascii="Times New Roman" w:hAnsi="Times New Roman" w:eastAsia="仿宋_GB2312" w:cs="Times New Roman"/>
          <w:sz w:val="32"/>
          <w:szCs w:val="32"/>
          <w:highlight w:val="none"/>
          <w:lang w:val="en-US" w:eastAsia="zh-CN"/>
        </w:rPr>
        <w:t>&lt;招标代理服务收费管理暂行办法&gt;的通知</w:t>
      </w:r>
      <w:r>
        <w:rPr>
          <w:rFonts w:hint="default" w:ascii="Times New Roman" w:hAnsi="Times New Roman" w:eastAsia="仿宋_GB2312" w:cs="Times New Roman"/>
          <w:sz w:val="32"/>
          <w:szCs w:val="32"/>
          <w:highlight w:val="none"/>
          <w:lang w:eastAsia="zh-CN"/>
        </w:rPr>
        <w:t>》（计价</w:t>
      </w:r>
      <w:r>
        <w:rPr>
          <w:rFonts w:hint="default" w:ascii="Times New Roman" w:hAnsi="Times New Roman" w:eastAsia="宋体" w:cs="Times New Roman"/>
          <w:sz w:val="32"/>
          <w:szCs w:val="32"/>
          <w:highlight w:val="none"/>
          <w:lang w:eastAsia="zh-CN"/>
        </w:rPr>
        <w:t>〔</w:t>
      </w:r>
      <w:r>
        <w:rPr>
          <w:rFonts w:hint="default" w:ascii="Times New Roman" w:hAnsi="Times New Roman" w:eastAsia="宋体" w:cs="Times New Roman"/>
          <w:sz w:val="32"/>
          <w:szCs w:val="32"/>
          <w:highlight w:val="none"/>
          <w:lang w:val="en-US" w:eastAsia="zh-CN"/>
        </w:rPr>
        <w:t>2002</w:t>
      </w:r>
      <w:r>
        <w:rPr>
          <w:rFonts w:hint="default" w:ascii="Times New Roman" w:hAnsi="Times New Roman" w:eastAsia="宋体" w:cs="Times New Roman"/>
          <w:sz w:val="32"/>
          <w:szCs w:val="32"/>
          <w:highlight w:val="none"/>
          <w:lang w:eastAsia="zh-CN"/>
        </w:rPr>
        <w:t>〕</w:t>
      </w:r>
      <w:r>
        <w:rPr>
          <w:rFonts w:hint="default" w:ascii="Times New Roman" w:hAnsi="Times New Roman" w:eastAsia="宋体" w:cs="Times New Roman"/>
          <w:sz w:val="32"/>
          <w:szCs w:val="32"/>
          <w:highlight w:val="none"/>
          <w:lang w:val="en-US" w:eastAsia="zh-CN"/>
        </w:rPr>
        <w:t>1980号</w:t>
      </w:r>
      <w:r>
        <w:rPr>
          <w:rFonts w:hint="default" w:ascii="Times New Roman" w:hAnsi="Times New Roman" w:eastAsia="仿宋_GB2312" w:cs="Times New Roman"/>
          <w:sz w:val="32"/>
          <w:szCs w:val="32"/>
          <w:highlight w:val="none"/>
          <w:lang w:eastAsia="zh-CN"/>
        </w:rPr>
        <w:t>）和《国家发展改革委关于进一步开放建设项目专业服务价格的通知》（发改价格</w:t>
      </w:r>
      <w:r>
        <w:rPr>
          <w:rFonts w:hint="default" w:ascii="Times New Roman" w:hAnsi="Times New Roman" w:eastAsia="宋体" w:cs="Times New Roman"/>
          <w:sz w:val="32"/>
          <w:szCs w:val="32"/>
          <w:highlight w:val="none"/>
          <w:lang w:eastAsia="zh-CN"/>
        </w:rPr>
        <w:t>〔</w:t>
      </w:r>
      <w:r>
        <w:rPr>
          <w:rFonts w:hint="default" w:ascii="Times New Roman" w:hAnsi="Times New Roman" w:eastAsia="宋体" w:cs="Times New Roman"/>
          <w:sz w:val="32"/>
          <w:szCs w:val="32"/>
          <w:highlight w:val="none"/>
          <w:lang w:val="en-US" w:eastAsia="zh-CN"/>
        </w:rPr>
        <w:t>20</w:t>
      </w:r>
      <w:r>
        <w:rPr>
          <w:rFonts w:hint="default" w:ascii="Times New Roman" w:hAnsi="Times New Roman" w:cs="Times New Roman"/>
          <w:sz w:val="32"/>
          <w:szCs w:val="32"/>
          <w:highlight w:val="none"/>
          <w:lang w:val="en-US" w:eastAsia="zh-CN"/>
        </w:rPr>
        <w:t>15</w:t>
      </w:r>
      <w:r>
        <w:rPr>
          <w:rFonts w:hint="default" w:ascii="Times New Roman" w:hAnsi="Times New Roman" w:eastAsia="宋体" w:cs="Times New Roman"/>
          <w:sz w:val="32"/>
          <w:szCs w:val="32"/>
          <w:highlight w:val="none"/>
          <w:lang w:eastAsia="zh-CN"/>
        </w:rPr>
        <w:t>〕</w:t>
      </w:r>
      <w:r>
        <w:rPr>
          <w:rFonts w:hint="default" w:ascii="Times New Roman" w:hAnsi="Times New Roman" w:cs="Times New Roman"/>
          <w:sz w:val="32"/>
          <w:szCs w:val="32"/>
          <w:highlight w:val="none"/>
          <w:lang w:val="en-US" w:eastAsia="zh-CN"/>
        </w:rPr>
        <w:t>299号</w:t>
      </w:r>
      <w:r>
        <w:rPr>
          <w:rFonts w:hint="default" w:ascii="Times New Roman" w:hAnsi="Times New Roman" w:eastAsia="仿宋_GB2312" w:cs="Times New Roman"/>
          <w:sz w:val="32"/>
          <w:szCs w:val="32"/>
          <w:highlight w:val="none"/>
          <w:lang w:eastAsia="zh-CN"/>
        </w:rPr>
        <w:t>）文件规定的收费标准，本次招标代理机构服务费率报价下浮率不低于</w:t>
      </w:r>
      <w:r>
        <w:rPr>
          <w:rFonts w:hint="default" w:ascii="Times New Roman" w:hAnsi="Times New Roman" w:eastAsia="仿宋_GB2312" w:cs="Times New Roman"/>
          <w:sz w:val="32"/>
          <w:szCs w:val="32"/>
          <w:highlight w:val="none"/>
          <w:lang w:val="en-US" w:eastAsia="zh-CN"/>
        </w:rPr>
        <w:t>20%。</w:t>
      </w:r>
    </w:p>
    <w:tbl>
      <w:tblPr>
        <w:tblStyle w:val="26"/>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273"/>
        <w:gridCol w:w="1687"/>
        <w:gridCol w:w="1687"/>
        <w:gridCol w:w="1687"/>
      </w:tblGrid>
      <w:tr w14:paraId="560706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50B0F29E">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中标金额（万元）</w:t>
            </w:r>
          </w:p>
        </w:tc>
        <w:tc>
          <w:tcPr>
            <w:tcW w:w="1687" w:type="dxa"/>
            <w:noWrap w:val="0"/>
            <w:vAlign w:val="center"/>
          </w:tcPr>
          <w:p w14:paraId="5E81E648">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货物招标</w:t>
            </w:r>
          </w:p>
        </w:tc>
        <w:tc>
          <w:tcPr>
            <w:tcW w:w="1687" w:type="dxa"/>
            <w:noWrap w:val="0"/>
            <w:vAlign w:val="center"/>
          </w:tcPr>
          <w:p w14:paraId="73CF114B">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服务招标</w:t>
            </w:r>
          </w:p>
        </w:tc>
        <w:tc>
          <w:tcPr>
            <w:tcW w:w="1687" w:type="dxa"/>
            <w:noWrap w:val="0"/>
            <w:vAlign w:val="center"/>
          </w:tcPr>
          <w:p w14:paraId="65D877F9">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工程招标</w:t>
            </w:r>
          </w:p>
        </w:tc>
      </w:tr>
      <w:tr w14:paraId="4EB694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08424CB8">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100以下</w:t>
            </w:r>
          </w:p>
        </w:tc>
        <w:tc>
          <w:tcPr>
            <w:tcW w:w="1687" w:type="dxa"/>
            <w:noWrap w:val="0"/>
            <w:vAlign w:val="center"/>
          </w:tcPr>
          <w:p w14:paraId="1EE27E84">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1.5%</w:t>
            </w:r>
          </w:p>
        </w:tc>
        <w:tc>
          <w:tcPr>
            <w:tcW w:w="1687" w:type="dxa"/>
            <w:noWrap w:val="0"/>
            <w:vAlign w:val="center"/>
          </w:tcPr>
          <w:p w14:paraId="4D3883A5">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1.5%</w:t>
            </w:r>
          </w:p>
        </w:tc>
        <w:tc>
          <w:tcPr>
            <w:tcW w:w="1687" w:type="dxa"/>
            <w:noWrap w:val="0"/>
            <w:vAlign w:val="center"/>
          </w:tcPr>
          <w:p w14:paraId="37DC242C">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1.0%</w:t>
            </w:r>
          </w:p>
        </w:tc>
      </w:tr>
      <w:tr w14:paraId="66E701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3CAF05EA">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100-500</w:t>
            </w:r>
          </w:p>
        </w:tc>
        <w:tc>
          <w:tcPr>
            <w:tcW w:w="1687" w:type="dxa"/>
            <w:noWrap w:val="0"/>
            <w:vAlign w:val="center"/>
          </w:tcPr>
          <w:p w14:paraId="69B020EB">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1.1%</w:t>
            </w:r>
          </w:p>
        </w:tc>
        <w:tc>
          <w:tcPr>
            <w:tcW w:w="1687" w:type="dxa"/>
            <w:noWrap w:val="0"/>
            <w:vAlign w:val="center"/>
          </w:tcPr>
          <w:p w14:paraId="0BD58026">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0.8%</w:t>
            </w:r>
          </w:p>
        </w:tc>
        <w:tc>
          <w:tcPr>
            <w:tcW w:w="1687" w:type="dxa"/>
            <w:noWrap w:val="0"/>
            <w:vAlign w:val="center"/>
          </w:tcPr>
          <w:p w14:paraId="3E00516C">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0.7%</w:t>
            </w:r>
          </w:p>
        </w:tc>
      </w:tr>
      <w:tr w14:paraId="2F1F4A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6AB5EAA8">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500-1000</w:t>
            </w:r>
          </w:p>
        </w:tc>
        <w:tc>
          <w:tcPr>
            <w:tcW w:w="1687" w:type="dxa"/>
            <w:noWrap w:val="0"/>
            <w:vAlign w:val="center"/>
          </w:tcPr>
          <w:p w14:paraId="5F468650">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0.8%</w:t>
            </w:r>
          </w:p>
        </w:tc>
        <w:tc>
          <w:tcPr>
            <w:tcW w:w="1687" w:type="dxa"/>
            <w:noWrap w:val="0"/>
            <w:vAlign w:val="center"/>
          </w:tcPr>
          <w:p w14:paraId="69B148BC">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0.45%</w:t>
            </w:r>
          </w:p>
        </w:tc>
        <w:tc>
          <w:tcPr>
            <w:tcW w:w="1687" w:type="dxa"/>
            <w:noWrap w:val="0"/>
            <w:vAlign w:val="center"/>
          </w:tcPr>
          <w:p w14:paraId="06370FA8">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0.55%</w:t>
            </w:r>
          </w:p>
        </w:tc>
      </w:tr>
      <w:tr w14:paraId="05CF8E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64814283">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1000-5000</w:t>
            </w:r>
          </w:p>
        </w:tc>
        <w:tc>
          <w:tcPr>
            <w:tcW w:w="1687" w:type="dxa"/>
            <w:noWrap w:val="0"/>
            <w:vAlign w:val="center"/>
          </w:tcPr>
          <w:p w14:paraId="401543C2">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0.5%</w:t>
            </w:r>
          </w:p>
        </w:tc>
        <w:tc>
          <w:tcPr>
            <w:tcW w:w="1687" w:type="dxa"/>
            <w:noWrap w:val="0"/>
            <w:vAlign w:val="center"/>
          </w:tcPr>
          <w:p w14:paraId="32128E29">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0.25%</w:t>
            </w:r>
          </w:p>
        </w:tc>
        <w:tc>
          <w:tcPr>
            <w:tcW w:w="1687" w:type="dxa"/>
            <w:noWrap w:val="0"/>
            <w:vAlign w:val="center"/>
          </w:tcPr>
          <w:p w14:paraId="61256D71">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0.35%</w:t>
            </w:r>
          </w:p>
        </w:tc>
      </w:tr>
      <w:tr w14:paraId="7B64B6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2494E51B">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5000-10000</w:t>
            </w:r>
          </w:p>
        </w:tc>
        <w:tc>
          <w:tcPr>
            <w:tcW w:w="1687" w:type="dxa"/>
            <w:noWrap w:val="0"/>
            <w:vAlign w:val="center"/>
          </w:tcPr>
          <w:p w14:paraId="7BADA41A">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0.25%</w:t>
            </w:r>
          </w:p>
        </w:tc>
        <w:tc>
          <w:tcPr>
            <w:tcW w:w="1687" w:type="dxa"/>
            <w:noWrap w:val="0"/>
            <w:vAlign w:val="center"/>
          </w:tcPr>
          <w:p w14:paraId="0FFD0CB0">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0.1%</w:t>
            </w:r>
          </w:p>
        </w:tc>
        <w:tc>
          <w:tcPr>
            <w:tcW w:w="1687" w:type="dxa"/>
            <w:noWrap w:val="0"/>
            <w:vAlign w:val="center"/>
          </w:tcPr>
          <w:p w14:paraId="648825D3">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0.2%</w:t>
            </w:r>
          </w:p>
        </w:tc>
      </w:tr>
      <w:tr w14:paraId="1C2695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733D670B">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10000-100000</w:t>
            </w:r>
          </w:p>
        </w:tc>
        <w:tc>
          <w:tcPr>
            <w:tcW w:w="1687" w:type="dxa"/>
            <w:noWrap w:val="0"/>
            <w:vAlign w:val="center"/>
          </w:tcPr>
          <w:p w14:paraId="26D20353">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0.05%</w:t>
            </w:r>
          </w:p>
        </w:tc>
        <w:tc>
          <w:tcPr>
            <w:tcW w:w="1687" w:type="dxa"/>
            <w:noWrap w:val="0"/>
            <w:vAlign w:val="center"/>
          </w:tcPr>
          <w:p w14:paraId="4FB93163">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0.05%</w:t>
            </w:r>
          </w:p>
        </w:tc>
        <w:tc>
          <w:tcPr>
            <w:tcW w:w="1687" w:type="dxa"/>
            <w:noWrap w:val="0"/>
            <w:vAlign w:val="center"/>
          </w:tcPr>
          <w:p w14:paraId="567258A2">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0.05%</w:t>
            </w:r>
          </w:p>
        </w:tc>
      </w:tr>
      <w:tr w14:paraId="5E1A20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5E49C863">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1000000以上</w:t>
            </w:r>
          </w:p>
        </w:tc>
        <w:tc>
          <w:tcPr>
            <w:tcW w:w="1687" w:type="dxa"/>
            <w:noWrap w:val="0"/>
            <w:vAlign w:val="center"/>
          </w:tcPr>
          <w:p w14:paraId="4D53873E">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0.01%</w:t>
            </w:r>
          </w:p>
        </w:tc>
        <w:tc>
          <w:tcPr>
            <w:tcW w:w="1687" w:type="dxa"/>
            <w:noWrap w:val="0"/>
            <w:vAlign w:val="center"/>
          </w:tcPr>
          <w:p w14:paraId="07D29C23">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0.01%</w:t>
            </w:r>
          </w:p>
        </w:tc>
        <w:tc>
          <w:tcPr>
            <w:tcW w:w="1687" w:type="dxa"/>
            <w:noWrap w:val="0"/>
            <w:vAlign w:val="center"/>
          </w:tcPr>
          <w:p w14:paraId="308E0554">
            <w:pPr>
              <w:pStyle w:val="22"/>
              <w:keepNext w:val="0"/>
              <w:keepLines w:val="0"/>
              <w:widowControl/>
              <w:suppressLineNumbers w:val="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0.01%</w:t>
            </w:r>
          </w:p>
        </w:tc>
      </w:tr>
    </w:tbl>
    <w:p w14:paraId="4AA5F88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val="0"/>
          <w:sz w:val="32"/>
          <w:szCs w:val="32"/>
          <w:lang w:val="en-US" w:eastAsia="zh-CN"/>
        </w:rPr>
        <w:t>注：招标代理服务费按差额定率累进法计算。</w:t>
      </w:r>
    </w:p>
    <w:p w14:paraId="3C6086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sz w:val="32"/>
          <w:szCs w:val="32"/>
          <w:lang w:val="en-US" w:eastAsia="zh-CN"/>
        </w:rPr>
        <w:t>本次比选公告在许昌市城投发展集团有限公司官网（网</w:t>
      </w:r>
      <w:r>
        <w:rPr>
          <w:rFonts w:hint="default" w:ascii="Times New Roman" w:hAnsi="Times New Roman" w:eastAsia="仿宋_GB2312" w:cs="Times New Roman"/>
          <w:sz w:val="32"/>
          <w:szCs w:val="32"/>
          <w:lang w:eastAsia="zh-CN"/>
        </w:rPr>
        <w:t>站地址：www.xcsct.cn）发布。</w:t>
      </w:r>
    </w:p>
    <w:p w14:paraId="7F5EF64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bookmarkStart w:id="0" w:name="_Toc35393627"/>
      <w:bookmarkEnd w:id="0"/>
      <w:bookmarkStart w:id="1" w:name="_Toc35393795"/>
      <w:bookmarkEnd w:id="1"/>
      <w:bookmarkStart w:id="2" w:name="_Toc28359085"/>
      <w:bookmarkEnd w:id="2"/>
      <w:bookmarkStart w:id="3" w:name="_Toc28359008"/>
      <w:bookmarkEnd w:id="3"/>
      <w:bookmarkStart w:id="4" w:name="_Toc35393796"/>
      <w:bookmarkEnd w:id="4"/>
      <w:bookmarkStart w:id="5" w:name="_Toc35393626"/>
      <w:bookmarkEnd w:id="5"/>
      <w:r>
        <w:rPr>
          <w:rFonts w:hint="default" w:ascii="Times New Roman" w:hAnsi="Times New Roman" w:eastAsia="仿宋_GB2312" w:cs="Times New Roman"/>
          <w:b/>
          <w:bCs w:val="0"/>
          <w:sz w:val="32"/>
          <w:szCs w:val="32"/>
          <w:lang w:val="en-US" w:eastAsia="zh-CN"/>
        </w:rPr>
        <w:t>十、联系方式</w:t>
      </w:r>
    </w:p>
    <w:p w14:paraId="0318D9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lang w:val="en-GB" w:eastAsia="zh-CN"/>
        </w:rPr>
      </w:pPr>
      <w:r>
        <w:rPr>
          <w:rFonts w:hint="default" w:ascii="Times New Roman" w:hAnsi="Times New Roman" w:eastAsia="仿宋_GB2312" w:cs="Times New Roman"/>
          <w:b w:val="0"/>
          <w:bCs/>
          <w:sz w:val="32"/>
          <w:szCs w:val="32"/>
          <w:lang w:val="en-US" w:eastAsia="zh-CN"/>
        </w:rPr>
        <w:t>比选人</w:t>
      </w:r>
      <w:r>
        <w:rPr>
          <w:rFonts w:hint="default" w:ascii="Times New Roman" w:hAnsi="Times New Roman" w:eastAsia="仿宋_GB2312" w:cs="Times New Roman"/>
          <w:b w:val="0"/>
          <w:bCs/>
          <w:sz w:val="32"/>
          <w:szCs w:val="32"/>
          <w:lang w:val="en-GB" w:eastAsia="zh-CN"/>
        </w:rPr>
        <w:t>：许昌市城投发展集团有限公司</w:t>
      </w:r>
    </w:p>
    <w:p w14:paraId="0646BD49">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pacing w:val="20"/>
          <w:sz w:val="32"/>
          <w:szCs w:val="32"/>
          <w:lang w:val="en-GB" w:eastAsia="zh-CN"/>
        </w:rPr>
        <w:t>地</w:t>
      </w:r>
      <w:r>
        <w:rPr>
          <w:rFonts w:hint="eastAsia" w:ascii="Times New Roman" w:hAnsi="Times New Roman" w:eastAsia="仿宋_GB2312" w:cs="Times New Roman"/>
          <w:b w:val="0"/>
          <w:bCs/>
          <w:spacing w:val="20"/>
          <w:sz w:val="32"/>
          <w:szCs w:val="32"/>
          <w:lang w:val="en-US" w:eastAsia="zh-CN"/>
        </w:rPr>
        <w:t xml:space="preserve"> </w:t>
      </w:r>
      <w:r>
        <w:rPr>
          <w:rFonts w:hint="default" w:ascii="Times New Roman" w:hAnsi="Times New Roman" w:eastAsia="仿宋_GB2312" w:cs="Times New Roman"/>
          <w:b w:val="0"/>
          <w:bCs/>
          <w:spacing w:val="20"/>
          <w:sz w:val="32"/>
          <w:szCs w:val="32"/>
          <w:lang w:val="en-GB" w:eastAsia="zh-CN"/>
        </w:rPr>
        <w:t>址：</w:t>
      </w:r>
      <w:r>
        <w:rPr>
          <w:rFonts w:hint="default" w:ascii="Times New Roman" w:hAnsi="Times New Roman" w:eastAsia="仿宋_GB2312" w:cs="Times New Roman"/>
          <w:b w:val="0"/>
          <w:bCs/>
          <w:sz w:val="32"/>
          <w:szCs w:val="32"/>
          <w:lang w:eastAsia="zh-CN"/>
        </w:rPr>
        <w:t>许昌市建安大道东段财政综合大楼</w:t>
      </w:r>
      <w:r>
        <w:rPr>
          <w:rFonts w:hint="default" w:ascii="Times New Roman" w:hAnsi="Times New Roman" w:eastAsia="仿宋_GB2312" w:cs="Times New Roman"/>
          <w:b w:val="0"/>
          <w:bCs/>
          <w:sz w:val="32"/>
          <w:szCs w:val="32"/>
          <w:lang w:val="en-US" w:eastAsia="zh-CN"/>
        </w:rPr>
        <w:t>816房间</w:t>
      </w:r>
    </w:p>
    <w:p w14:paraId="48CFB22F">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default" w:ascii="Times New Roman" w:hAnsi="Times New Roman" w:eastAsia="仿宋_GB2312" w:cs="Times New Roman"/>
          <w:b w:val="0"/>
          <w:bCs/>
          <w:sz w:val="32"/>
          <w:szCs w:val="32"/>
          <w:lang w:val="en-GB" w:eastAsia="zh-CN"/>
        </w:rPr>
      </w:pPr>
      <w:r>
        <w:rPr>
          <w:rFonts w:hint="default" w:ascii="Times New Roman" w:hAnsi="Times New Roman" w:eastAsia="仿宋_GB2312" w:cs="Times New Roman"/>
          <w:b w:val="0"/>
          <w:bCs/>
          <w:spacing w:val="20"/>
          <w:sz w:val="32"/>
          <w:szCs w:val="32"/>
          <w:lang w:val="en-GB" w:eastAsia="zh-CN"/>
        </w:rPr>
        <w:t>联 系 人：</w:t>
      </w:r>
      <w:r>
        <w:rPr>
          <w:rFonts w:hint="default" w:ascii="Times New Roman" w:hAnsi="Times New Roman" w:eastAsia="仿宋_GB2312" w:cs="Times New Roman"/>
          <w:b w:val="0"/>
          <w:bCs/>
          <w:sz w:val="32"/>
          <w:szCs w:val="32"/>
          <w:lang w:val="en-US" w:eastAsia="zh-CN"/>
        </w:rPr>
        <w:t xml:space="preserve">白先生   </w:t>
      </w:r>
      <w:r>
        <w:rPr>
          <w:rFonts w:hint="default" w:ascii="Times New Roman" w:hAnsi="Times New Roman" w:eastAsia="仿宋_GB2312" w:cs="Times New Roman"/>
          <w:b w:val="0"/>
          <w:bCs/>
          <w:sz w:val="32"/>
          <w:szCs w:val="32"/>
          <w:lang w:val="en-GB" w:eastAsia="zh-CN"/>
        </w:rPr>
        <w:t xml:space="preserve">        </w:t>
      </w:r>
    </w:p>
    <w:p w14:paraId="040FDB32">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pacing w:val="20"/>
          <w:sz w:val="32"/>
          <w:szCs w:val="32"/>
          <w:lang w:val="en-GB" w:eastAsia="zh-CN"/>
        </w:rPr>
        <w:t>联系电话：</w:t>
      </w:r>
      <w:r>
        <w:rPr>
          <w:rFonts w:hint="default" w:ascii="Times New Roman" w:hAnsi="Times New Roman" w:eastAsia="仿宋_GB2312" w:cs="Times New Roman"/>
          <w:b w:val="0"/>
          <w:bCs/>
          <w:sz w:val="32"/>
          <w:szCs w:val="32"/>
          <w:lang w:val="en-US" w:eastAsia="zh-CN"/>
        </w:rPr>
        <w:t>0374-2699026</w:t>
      </w:r>
    </w:p>
    <w:p w14:paraId="17E02CB3">
      <w:pPr>
        <w:snapToGrid w:val="0"/>
        <w:spacing w:line="520" w:lineRule="exact"/>
        <w:ind w:firstLine="480" w:firstLineChars="200"/>
        <w:rPr>
          <w:rFonts w:hint="default" w:ascii="Times New Roman" w:hAnsi="Times New Roman" w:eastAsia="仿宋" w:cs="Times New Roman"/>
          <w:b w:val="0"/>
          <w:bCs/>
          <w:color w:val="auto"/>
          <w:sz w:val="24"/>
          <w:szCs w:val="24"/>
          <w:highlight w:val="none"/>
          <w:lang w:val="en-US" w:eastAsia="zh-CN"/>
        </w:rPr>
      </w:pPr>
    </w:p>
    <w:p w14:paraId="3DACD405">
      <w:pPr>
        <w:pStyle w:val="24"/>
        <w:rPr>
          <w:rFonts w:hint="default" w:ascii="Times New Roman" w:hAnsi="Times New Roman" w:eastAsia="仿宋" w:cs="Times New Roman"/>
          <w:b/>
          <w:bCs/>
          <w:color w:val="auto"/>
          <w:sz w:val="24"/>
          <w:szCs w:val="24"/>
        </w:rPr>
      </w:pPr>
    </w:p>
    <w:p w14:paraId="0101A2DF">
      <w:pP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br w:type="page"/>
      </w:r>
    </w:p>
    <w:p w14:paraId="3DA11C76">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2E3B843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TW"/>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eastAsia="zh-TW"/>
        </w:rPr>
        <w:t>、本项目需实现的功能或者目标</w:t>
      </w:r>
    </w:p>
    <w:p w14:paraId="428DB0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许昌市城投发展集团有限公司</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人）拟通过</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的方式选聘</w:t>
      </w:r>
      <w:r>
        <w:rPr>
          <w:rFonts w:hint="default" w:ascii="Times New Roman" w:hAnsi="Times New Roman" w:eastAsia="仿宋_GB2312" w:cs="Times New Roman"/>
          <w:sz w:val="32"/>
          <w:szCs w:val="32"/>
          <w:lang w:val="en-US" w:eastAsia="zh-CN"/>
        </w:rPr>
        <w:t>1家2025年度非公开发行专项品种公司债券主承销商招标项目招标代理机构，以便顺利完成2025年度非公开发行专项品种公司债券主承销商招标项目招标工作。</w:t>
      </w:r>
    </w:p>
    <w:p w14:paraId="2FCB7F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lang w:val="zh-CN" w:eastAsia="zh-CN"/>
        </w:rPr>
        <w:t>、服务内容：</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eastAsia="zh-CN"/>
        </w:rPr>
        <w:t>人应完成以下服务内容（包括但不限于）</w:t>
      </w:r>
    </w:p>
    <w:p w14:paraId="28A587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协助比选人编制</w:t>
      </w:r>
      <w:r>
        <w:rPr>
          <w:rFonts w:hint="default" w:ascii="Times New Roman" w:hAnsi="Times New Roman" w:eastAsia="仿宋_GB2312" w:cs="Times New Roman"/>
          <w:sz w:val="32"/>
          <w:szCs w:val="32"/>
          <w:lang w:val="en-US" w:eastAsia="zh-CN"/>
        </w:rPr>
        <w:t>许昌市城投发展集团有限公司2025年度非公开发行专项品种公司债券主承销商招标项目招标文件</w:t>
      </w:r>
      <w:r>
        <w:rPr>
          <w:rFonts w:hint="default" w:ascii="Times New Roman" w:hAnsi="Times New Roman" w:eastAsia="仿宋_GB2312" w:cs="Times New Roman"/>
          <w:sz w:val="32"/>
          <w:szCs w:val="32"/>
          <w:lang w:eastAsia="zh-CN"/>
        </w:rPr>
        <w:t>；</w:t>
      </w:r>
    </w:p>
    <w:p w14:paraId="480B4B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提供开标场所并具备全程录音录像条件；</w:t>
      </w:r>
    </w:p>
    <w:p w14:paraId="074B2A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建立外部评审专家库，具备抽取评审专家条件，同时外部评审专家库专家参评时必须在河南省综合评标或政府采购评审专家库中；</w:t>
      </w:r>
    </w:p>
    <w:p w14:paraId="216B8A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协助比选人在中国招标投标公共服务平台等至少</w:t>
      </w:r>
      <w:r>
        <w:rPr>
          <w:rFonts w:hint="default" w:ascii="Times New Roman" w:hAnsi="Times New Roman" w:eastAsia="仿宋_GB2312" w:cs="Times New Roman"/>
          <w:sz w:val="32"/>
          <w:szCs w:val="32"/>
          <w:lang w:val="en-US" w:eastAsia="zh-CN"/>
        </w:rPr>
        <w:t>2家以上公共媒体发布招标公告</w:t>
      </w:r>
      <w:r>
        <w:rPr>
          <w:rFonts w:hint="default" w:ascii="Times New Roman" w:hAnsi="Times New Roman" w:eastAsia="仿宋_GB2312" w:cs="Times New Roman"/>
          <w:sz w:val="32"/>
          <w:szCs w:val="32"/>
          <w:lang w:eastAsia="zh-CN"/>
        </w:rPr>
        <w:t>；</w:t>
      </w:r>
    </w:p>
    <w:p w14:paraId="52729F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协助比选人办理、整理、收集招标过程中所需的材料，并在招标结束后按照比选人要求整理全过程招标材料形成文件汇编、提供录音录像等电子文件；</w:t>
      </w:r>
    </w:p>
    <w:p w14:paraId="48A8DD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sz w:val="32"/>
          <w:szCs w:val="32"/>
          <w:lang w:val="en-US" w:eastAsia="zh-CN"/>
        </w:rPr>
        <w:t>6</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其他在招标过程中需要配合、协助比选人的事项。</w:t>
      </w:r>
    </w:p>
    <w:p w14:paraId="1589081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TW"/>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eastAsia="zh-TW"/>
        </w:rPr>
        <w:t>服务标准、期限、效率等要求</w:t>
      </w:r>
    </w:p>
    <w:p w14:paraId="738BB5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根据比选人要求在规定时间内完成非公开发行公司债券专项产品主承销商项目招标工作。</w:t>
      </w:r>
    </w:p>
    <w:p w14:paraId="3C7D6E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服务期限：自签订服务合同之日起至招标工作全部完成并向比选人提交招标全过程汇编文件之日止。</w:t>
      </w:r>
    </w:p>
    <w:p w14:paraId="20C16D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以上技术要求</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应等于或优于以上要求，不得低于此要求。</w:t>
      </w:r>
    </w:p>
    <w:p w14:paraId="2EAA9D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因中标人的过失，给</w:t>
      </w:r>
      <w:r>
        <w:rPr>
          <w:rFonts w:hint="default" w:ascii="Times New Roman" w:hAnsi="Times New Roman" w:eastAsia="仿宋_GB2312" w:cs="Times New Roman"/>
          <w:sz w:val="32"/>
          <w:szCs w:val="32"/>
          <w:lang w:eastAsia="zh-CN"/>
        </w:rPr>
        <w:t>比选人</w:t>
      </w:r>
      <w:r>
        <w:rPr>
          <w:rFonts w:hint="default" w:ascii="Times New Roman" w:hAnsi="Times New Roman" w:eastAsia="仿宋_GB2312" w:cs="Times New Roman"/>
          <w:sz w:val="32"/>
          <w:szCs w:val="32"/>
          <w:lang w:eastAsia="zh-TW"/>
        </w:rPr>
        <w:t>造成经济损失的，应当依法赔偿</w:t>
      </w:r>
      <w:r>
        <w:rPr>
          <w:rFonts w:hint="default" w:ascii="Times New Roman" w:hAnsi="Times New Roman" w:eastAsia="仿宋_GB2312" w:cs="Times New Roman"/>
          <w:sz w:val="32"/>
          <w:szCs w:val="32"/>
          <w:lang w:eastAsia="zh-CN"/>
        </w:rPr>
        <w:t>。</w:t>
      </w:r>
    </w:p>
    <w:p w14:paraId="7347CA5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TW"/>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lang w:eastAsia="zh-TW"/>
        </w:rPr>
        <w:t>釆购标的的其他技术、服务等要求</w:t>
      </w:r>
    </w:p>
    <w:p w14:paraId="1157B5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应就</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lang w:eastAsia="zh-TW"/>
        </w:rPr>
        <w:t>项目（每包或者标段）完整投标。</w:t>
      </w:r>
    </w:p>
    <w:p w14:paraId="61B680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TW"/>
        </w:rPr>
        <w:t>本项目为交钥匙工程，包含</w:t>
      </w:r>
      <w:r>
        <w:rPr>
          <w:rFonts w:hint="default" w:ascii="Times New Roman" w:hAnsi="Times New Roman" w:eastAsia="仿宋_GB2312" w:cs="Times New Roman"/>
          <w:sz w:val="32"/>
          <w:szCs w:val="32"/>
          <w:lang w:eastAsia="zh-CN"/>
        </w:rPr>
        <w:t>比选人</w:t>
      </w:r>
      <w:r>
        <w:rPr>
          <w:rFonts w:hint="default" w:ascii="Times New Roman" w:hAnsi="Times New Roman" w:eastAsia="仿宋_GB2312" w:cs="Times New Roman"/>
          <w:sz w:val="32"/>
          <w:szCs w:val="32"/>
          <w:lang w:eastAsia="zh-TW"/>
        </w:rPr>
        <w:t>一切费用。</w:t>
      </w:r>
    </w:p>
    <w:p w14:paraId="3D7BD39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验收标准</w:t>
      </w:r>
    </w:p>
    <w:p w14:paraId="277C37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为比选人完成非公开发行</w:t>
      </w:r>
      <w:r>
        <w:rPr>
          <w:rFonts w:hint="default" w:ascii="Times New Roman" w:hAnsi="Times New Roman" w:eastAsia="仿宋_GB2312" w:cs="Times New Roman"/>
          <w:sz w:val="32"/>
          <w:szCs w:val="32"/>
          <w:lang w:val="en-US" w:eastAsia="zh-CN"/>
        </w:rPr>
        <w:t>专项品种</w:t>
      </w:r>
      <w:r>
        <w:rPr>
          <w:rFonts w:hint="default" w:ascii="Times New Roman" w:hAnsi="Times New Roman" w:eastAsia="仿宋_GB2312" w:cs="Times New Roman"/>
          <w:sz w:val="32"/>
          <w:szCs w:val="32"/>
          <w:lang w:eastAsia="zh-CN"/>
        </w:rPr>
        <w:t>公司债券主承销商招标项目招标工作，选取最优主承销商后并向比选人提交相关存档材料后即视为验收合格。</w:t>
      </w:r>
    </w:p>
    <w:p w14:paraId="6C8D78C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sz w:val="32"/>
          <w:szCs w:val="32"/>
          <w:highlight w:val="none"/>
          <w:lang w:eastAsia="zh-CN"/>
        </w:rPr>
        <w:t>本项目比选控制价依据《国家计委关于印发</w:t>
      </w:r>
      <w:r>
        <w:rPr>
          <w:rFonts w:hint="default" w:ascii="Times New Roman" w:hAnsi="Times New Roman" w:eastAsia="仿宋_GB2312" w:cs="Times New Roman"/>
          <w:sz w:val="32"/>
          <w:szCs w:val="32"/>
          <w:highlight w:val="none"/>
          <w:lang w:val="en-US" w:eastAsia="zh-CN"/>
        </w:rPr>
        <w:t>&lt;招标代理服务收费管理暂行办法&gt;的通知</w:t>
      </w:r>
      <w:r>
        <w:rPr>
          <w:rFonts w:hint="default" w:ascii="Times New Roman" w:hAnsi="Times New Roman" w:eastAsia="仿宋_GB2312" w:cs="Times New Roman"/>
          <w:sz w:val="32"/>
          <w:szCs w:val="32"/>
          <w:highlight w:val="none"/>
          <w:lang w:eastAsia="zh-CN"/>
        </w:rPr>
        <w:t>》（计价</w:t>
      </w:r>
      <w:r>
        <w:rPr>
          <w:rFonts w:hint="default" w:ascii="Times New Roman" w:hAnsi="Times New Roman" w:eastAsia="宋体" w:cs="Times New Roman"/>
          <w:sz w:val="32"/>
          <w:szCs w:val="32"/>
          <w:highlight w:val="none"/>
          <w:lang w:eastAsia="zh-CN"/>
        </w:rPr>
        <w:t>〔</w:t>
      </w:r>
      <w:r>
        <w:rPr>
          <w:rFonts w:hint="default" w:ascii="Times New Roman" w:hAnsi="Times New Roman" w:eastAsia="宋体" w:cs="Times New Roman"/>
          <w:sz w:val="32"/>
          <w:szCs w:val="32"/>
          <w:highlight w:val="none"/>
          <w:lang w:val="en-US" w:eastAsia="zh-CN"/>
        </w:rPr>
        <w:t>2002</w:t>
      </w:r>
      <w:r>
        <w:rPr>
          <w:rFonts w:hint="default" w:ascii="Times New Roman" w:hAnsi="Times New Roman" w:eastAsia="宋体" w:cs="Times New Roman"/>
          <w:sz w:val="32"/>
          <w:szCs w:val="32"/>
          <w:highlight w:val="none"/>
          <w:lang w:eastAsia="zh-CN"/>
        </w:rPr>
        <w:t>〕</w:t>
      </w:r>
      <w:r>
        <w:rPr>
          <w:rFonts w:hint="default" w:ascii="Times New Roman" w:hAnsi="Times New Roman" w:eastAsia="宋体" w:cs="Times New Roman"/>
          <w:sz w:val="32"/>
          <w:szCs w:val="32"/>
          <w:highlight w:val="none"/>
          <w:lang w:val="en-US" w:eastAsia="zh-CN"/>
        </w:rPr>
        <w:t>1980号</w:t>
      </w:r>
      <w:r>
        <w:rPr>
          <w:rFonts w:hint="default" w:ascii="Times New Roman" w:hAnsi="Times New Roman" w:eastAsia="仿宋_GB2312" w:cs="Times New Roman"/>
          <w:sz w:val="32"/>
          <w:szCs w:val="32"/>
          <w:highlight w:val="none"/>
          <w:lang w:eastAsia="zh-CN"/>
        </w:rPr>
        <w:t>）和《国家发展改革委关于进一步开放建设项目专业服务价格的通知》（发改价格</w:t>
      </w:r>
      <w:r>
        <w:rPr>
          <w:rFonts w:hint="default" w:ascii="Times New Roman" w:hAnsi="Times New Roman" w:eastAsia="宋体" w:cs="Times New Roman"/>
          <w:sz w:val="32"/>
          <w:szCs w:val="32"/>
          <w:highlight w:val="none"/>
          <w:lang w:eastAsia="zh-CN"/>
        </w:rPr>
        <w:t>〔</w:t>
      </w:r>
      <w:r>
        <w:rPr>
          <w:rFonts w:hint="default" w:ascii="Times New Roman" w:hAnsi="Times New Roman" w:eastAsia="宋体" w:cs="Times New Roman"/>
          <w:sz w:val="32"/>
          <w:szCs w:val="32"/>
          <w:highlight w:val="none"/>
          <w:lang w:val="en-US" w:eastAsia="zh-CN"/>
        </w:rPr>
        <w:t>20</w:t>
      </w:r>
      <w:r>
        <w:rPr>
          <w:rFonts w:hint="default" w:ascii="Times New Roman" w:hAnsi="Times New Roman" w:cs="Times New Roman"/>
          <w:sz w:val="32"/>
          <w:szCs w:val="32"/>
          <w:highlight w:val="none"/>
          <w:lang w:val="en-US" w:eastAsia="zh-CN"/>
        </w:rPr>
        <w:t>15</w:t>
      </w:r>
      <w:r>
        <w:rPr>
          <w:rFonts w:hint="default" w:ascii="Times New Roman" w:hAnsi="Times New Roman" w:eastAsia="宋体" w:cs="Times New Roman"/>
          <w:sz w:val="32"/>
          <w:szCs w:val="32"/>
          <w:highlight w:val="none"/>
          <w:lang w:eastAsia="zh-CN"/>
        </w:rPr>
        <w:t>〕</w:t>
      </w:r>
      <w:r>
        <w:rPr>
          <w:rFonts w:hint="default" w:ascii="Times New Roman" w:hAnsi="Times New Roman" w:cs="Times New Roman"/>
          <w:sz w:val="32"/>
          <w:szCs w:val="32"/>
          <w:highlight w:val="none"/>
          <w:lang w:val="en-US" w:eastAsia="zh-CN"/>
        </w:rPr>
        <w:t>299号</w:t>
      </w:r>
      <w:r>
        <w:rPr>
          <w:rFonts w:hint="default" w:ascii="Times New Roman" w:hAnsi="Times New Roman" w:eastAsia="仿宋_GB2312" w:cs="Times New Roman"/>
          <w:sz w:val="32"/>
          <w:szCs w:val="32"/>
          <w:highlight w:val="none"/>
          <w:lang w:eastAsia="zh-CN"/>
        </w:rPr>
        <w:t>）文件规定的收费标准，服务费率报价下浮率不低于</w:t>
      </w:r>
      <w:r>
        <w:rPr>
          <w:rFonts w:hint="default"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lang w:val="zh-CN" w:eastAsia="zh-CN"/>
        </w:rPr>
        <w:t>，超出最高限价的投标报价无效。</w:t>
      </w:r>
    </w:p>
    <w:p w14:paraId="301541F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b/>
          <w:bCs/>
          <w:sz w:val="32"/>
          <w:szCs w:val="32"/>
          <w:lang w:val="zh-CN" w:eastAsia="zh-CN"/>
        </w:rPr>
        <w:t>资金支付</w:t>
      </w:r>
    </w:p>
    <w:p w14:paraId="3A9FCE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支付方式：现金或银行转账。</w:t>
      </w:r>
    </w:p>
    <w:p w14:paraId="0C5336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TW"/>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TW"/>
        </w:rPr>
        <w:t>支付时间及条件：</w:t>
      </w:r>
      <w:r>
        <w:rPr>
          <w:rFonts w:hint="default" w:ascii="Times New Roman" w:hAnsi="Times New Roman" w:eastAsia="仿宋_GB2312" w:cs="Times New Roman"/>
          <w:sz w:val="32"/>
          <w:szCs w:val="32"/>
          <w:lang w:eastAsia="zh-CN"/>
        </w:rPr>
        <w:t>非公开发行</w:t>
      </w:r>
      <w:r>
        <w:rPr>
          <w:rFonts w:hint="default" w:ascii="Times New Roman" w:hAnsi="Times New Roman" w:eastAsia="仿宋_GB2312" w:cs="Times New Roman"/>
          <w:sz w:val="32"/>
          <w:szCs w:val="32"/>
          <w:lang w:val="en-US" w:eastAsia="zh-CN"/>
        </w:rPr>
        <w:t>专项品种</w:t>
      </w:r>
      <w:r>
        <w:rPr>
          <w:rFonts w:hint="default" w:ascii="Times New Roman" w:hAnsi="Times New Roman" w:eastAsia="仿宋_GB2312" w:cs="Times New Roman"/>
          <w:sz w:val="32"/>
          <w:szCs w:val="32"/>
          <w:lang w:eastAsia="zh-CN"/>
        </w:rPr>
        <w:t>公司债券主承销商招标项目招标工作完成之后发放中标通知书期间</w:t>
      </w:r>
      <w:r>
        <w:rPr>
          <w:rFonts w:hint="default" w:ascii="Times New Roman" w:hAnsi="Times New Roman" w:eastAsia="仿宋_GB2312" w:cs="Times New Roman"/>
          <w:sz w:val="32"/>
          <w:szCs w:val="32"/>
          <w:lang w:val="zh-CN" w:eastAsia="zh-TW"/>
        </w:rPr>
        <w:t>。</w:t>
      </w:r>
    </w:p>
    <w:p w14:paraId="4B377B26">
      <w:pPr>
        <w:pStyle w:val="8"/>
        <w:ind w:firstLine="64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费用支付方：</w:t>
      </w:r>
      <w:r>
        <w:rPr>
          <w:rFonts w:hint="default" w:ascii="Times New Roman" w:hAnsi="Times New Roman" w:eastAsia="仿宋_GB2312" w:cs="Times New Roman"/>
          <w:sz w:val="32"/>
          <w:szCs w:val="32"/>
          <w:lang w:eastAsia="zh-CN"/>
        </w:rPr>
        <w:t>非公开发行</w:t>
      </w:r>
      <w:r>
        <w:rPr>
          <w:rFonts w:hint="default" w:ascii="Times New Roman" w:hAnsi="Times New Roman" w:eastAsia="仿宋_GB2312" w:cs="Times New Roman"/>
          <w:sz w:val="32"/>
          <w:szCs w:val="32"/>
          <w:lang w:val="en-US" w:eastAsia="zh-CN"/>
        </w:rPr>
        <w:t>专项品种</w:t>
      </w:r>
      <w:r>
        <w:rPr>
          <w:rFonts w:hint="default" w:ascii="Times New Roman" w:hAnsi="Times New Roman" w:eastAsia="仿宋_GB2312" w:cs="Times New Roman"/>
          <w:sz w:val="32"/>
          <w:szCs w:val="32"/>
          <w:lang w:eastAsia="zh-CN"/>
        </w:rPr>
        <w:t>公司债券主承销商招标项目中标人。</w:t>
      </w:r>
    </w:p>
    <w:p w14:paraId="7D8DB5C4">
      <w:pPr>
        <w:widowControl/>
        <w:shd w:val="clear" w:color="auto" w:fill="FFFFFF"/>
        <w:spacing w:line="360" w:lineRule="auto"/>
        <w:jc w:val="both"/>
        <w:rPr>
          <w:rFonts w:hint="default" w:ascii="Times New Roman" w:hAnsi="Times New Roman" w:eastAsia="仿宋" w:cs="Times New Roman"/>
          <w:b/>
          <w:bCs/>
          <w:caps/>
          <w:color w:val="auto"/>
          <w:kern w:val="0"/>
          <w:sz w:val="40"/>
          <w:szCs w:val="40"/>
          <w:lang w:val="en-US" w:eastAsia="zh-CN"/>
        </w:rPr>
      </w:pPr>
    </w:p>
    <w:p w14:paraId="195BA711">
      <w:pPr>
        <w:widowControl/>
        <w:shd w:val="clear" w:color="auto" w:fill="FFFFFF"/>
        <w:spacing w:line="360" w:lineRule="auto"/>
        <w:jc w:val="both"/>
        <w:rPr>
          <w:rFonts w:hint="default" w:ascii="Times New Roman" w:hAnsi="Times New Roman" w:eastAsia="仿宋" w:cs="Times New Roman"/>
          <w:b/>
          <w:bCs/>
          <w:caps/>
          <w:color w:val="auto"/>
          <w:kern w:val="0"/>
          <w:sz w:val="40"/>
          <w:szCs w:val="40"/>
          <w:lang w:val="en-US" w:eastAsia="zh-CN"/>
        </w:rPr>
      </w:pPr>
    </w:p>
    <w:p w14:paraId="2DA3D000">
      <w:pPr>
        <w:widowControl/>
        <w:shd w:val="clear" w:color="auto" w:fill="FFFFFF"/>
        <w:spacing w:line="360" w:lineRule="auto"/>
        <w:jc w:val="both"/>
        <w:rPr>
          <w:rFonts w:hint="default" w:ascii="Times New Roman" w:hAnsi="Times New Roman" w:eastAsia="仿宋" w:cs="Times New Roman"/>
          <w:b/>
          <w:bCs/>
          <w:caps/>
          <w:color w:val="auto"/>
          <w:kern w:val="0"/>
          <w:sz w:val="40"/>
          <w:szCs w:val="40"/>
          <w:lang w:val="en-US" w:eastAsia="zh-CN"/>
        </w:rPr>
      </w:pPr>
    </w:p>
    <w:p w14:paraId="3C6CF751">
      <w:pPr>
        <w:widowControl/>
        <w:shd w:val="clear" w:color="auto" w:fill="FFFFFF"/>
        <w:spacing w:line="360" w:lineRule="auto"/>
        <w:jc w:val="both"/>
        <w:rPr>
          <w:rFonts w:hint="default" w:ascii="Times New Roman" w:hAnsi="Times New Roman" w:eastAsia="仿宋" w:cs="Times New Roman"/>
          <w:b/>
          <w:bCs/>
          <w:caps/>
          <w:color w:val="auto"/>
          <w:kern w:val="0"/>
          <w:sz w:val="40"/>
          <w:szCs w:val="40"/>
          <w:lang w:val="en-US" w:eastAsia="zh-CN"/>
        </w:rPr>
      </w:pPr>
    </w:p>
    <w:p w14:paraId="24472F11">
      <w:pPr>
        <w:widowControl/>
        <w:shd w:val="clear" w:color="auto" w:fill="FFFFFF"/>
        <w:spacing w:line="360" w:lineRule="auto"/>
        <w:jc w:val="both"/>
        <w:rPr>
          <w:rFonts w:hint="default" w:ascii="Times New Roman" w:hAnsi="Times New Roman" w:eastAsia="仿宋" w:cs="Times New Roman"/>
          <w:b/>
          <w:bCs/>
          <w:caps/>
          <w:color w:val="auto"/>
          <w:kern w:val="0"/>
          <w:sz w:val="40"/>
          <w:szCs w:val="40"/>
          <w:lang w:val="en-US" w:eastAsia="zh-CN"/>
        </w:rPr>
      </w:pPr>
    </w:p>
    <w:p w14:paraId="268AADA8">
      <w:pPr>
        <w:widowControl/>
        <w:shd w:val="clear" w:color="auto" w:fill="FFFFFF"/>
        <w:spacing w:line="360" w:lineRule="auto"/>
        <w:jc w:val="both"/>
        <w:rPr>
          <w:rFonts w:hint="default" w:ascii="Times New Roman" w:hAnsi="Times New Roman" w:eastAsia="仿宋" w:cs="Times New Roman"/>
          <w:b/>
          <w:bCs/>
          <w:caps/>
          <w:color w:val="auto"/>
          <w:kern w:val="0"/>
          <w:sz w:val="40"/>
          <w:szCs w:val="40"/>
          <w:lang w:val="en-US" w:eastAsia="zh-CN"/>
        </w:rPr>
      </w:pPr>
    </w:p>
    <w:p w14:paraId="74882E3C">
      <w:pPr>
        <w:widowControl/>
        <w:shd w:val="clear" w:color="auto" w:fill="FFFFFF"/>
        <w:spacing w:line="360" w:lineRule="auto"/>
        <w:jc w:val="both"/>
        <w:rPr>
          <w:rFonts w:hint="default" w:ascii="Times New Roman" w:hAnsi="Times New Roman" w:eastAsia="仿宋" w:cs="Times New Roman"/>
          <w:b/>
          <w:bCs/>
          <w:caps/>
          <w:color w:val="auto"/>
          <w:kern w:val="0"/>
          <w:sz w:val="40"/>
          <w:szCs w:val="40"/>
          <w:lang w:val="en-US" w:eastAsia="zh-CN"/>
        </w:rPr>
      </w:pPr>
    </w:p>
    <w:p w14:paraId="725933C2">
      <w:pPr>
        <w:widowControl/>
        <w:shd w:val="clear" w:color="auto" w:fill="FFFFFF"/>
        <w:spacing w:line="360" w:lineRule="auto"/>
        <w:jc w:val="both"/>
        <w:rPr>
          <w:rFonts w:hint="default" w:ascii="Times New Roman" w:hAnsi="Times New Roman" w:eastAsia="仿宋" w:cs="Times New Roman"/>
          <w:b/>
          <w:bCs/>
          <w:caps/>
          <w:color w:val="auto"/>
          <w:kern w:val="0"/>
          <w:sz w:val="40"/>
          <w:szCs w:val="40"/>
          <w:lang w:val="en-US" w:eastAsia="zh-CN"/>
        </w:rPr>
      </w:pPr>
    </w:p>
    <w:p w14:paraId="0CE29F60">
      <w:pPr>
        <w:widowControl/>
        <w:shd w:val="clear" w:color="auto" w:fill="FFFFFF"/>
        <w:spacing w:line="360" w:lineRule="auto"/>
        <w:jc w:val="both"/>
        <w:rPr>
          <w:rFonts w:hint="default" w:ascii="Times New Roman" w:hAnsi="Times New Roman" w:eastAsia="仿宋" w:cs="Times New Roman"/>
          <w:b/>
          <w:bCs/>
          <w:caps/>
          <w:color w:val="auto"/>
          <w:kern w:val="0"/>
          <w:sz w:val="40"/>
          <w:szCs w:val="40"/>
          <w:lang w:val="en-US" w:eastAsia="zh-CN"/>
        </w:rPr>
      </w:pPr>
    </w:p>
    <w:p w14:paraId="0363D6E2">
      <w:pPr>
        <w:widowControl/>
        <w:shd w:val="clear" w:color="auto" w:fill="FFFFFF"/>
        <w:spacing w:line="360" w:lineRule="auto"/>
        <w:jc w:val="both"/>
        <w:rPr>
          <w:rFonts w:hint="default" w:ascii="Times New Roman" w:hAnsi="Times New Roman" w:eastAsia="仿宋" w:cs="Times New Roman"/>
          <w:b/>
          <w:bCs/>
          <w:caps/>
          <w:color w:val="auto"/>
          <w:kern w:val="0"/>
          <w:sz w:val="40"/>
          <w:szCs w:val="40"/>
          <w:lang w:val="en-US" w:eastAsia="zh-CN"/>
        </w:rPr>
      </w:pPr>
    </w:p>
    <w:p w14:paraId="3EB44983">
      <w:pPr>
        <w:widowControl/>
        <w:shd w:val="clear" w:color="auto" w:fill="FFFFFF"/>
        <w:spacing w:line="360" w:lineRule="auto"/>
        <w:jc w:val="both"/>
        <w:rPr>
          <w:rFonts w:hint="default" w:ascii="Times New Roman" w:hAnsi="Times New Roman" w:eastAsia="仿宋" w:cs="Times New Roman"/>
          <w:b/>
          <w:bCs/>
          <w:caps/>
          <w:color w:val="auto"/>
          <w:kern w:val="0"/>
          <w:sz w:val="40"/>
          <w:szCs w:val="40"/>
          <w:lang w:val="en-US" w:eastAsia="zh-CN"/>
        </w:rPr>
      </w:pPr>
    </w:p>
    <w:p w14:paraId="04530C82">
      <w:pPr>
        <w:widowControl/>
        <w:shd w:val="clear" w:color="auto" w:fill="FFFFFF"/>
        <w:spacing w:line="360" w:lineRule="auto"/>
        <w:jc w:val="both"/>
        <w:rPr>
          <w:rFonts w:hint="default" w:ascii="Times New Roman" w:hAnsi="Times New Roman" w:eastAsia="仿宋" w:cs="Times New Roman"/>
          <w:b/>
          <w:bCs/>
          <w:caps/>
          <w:color w:val="auto"/>
          <w:kern w:val="0"/>
          <w:sz w:val="40"/>
          <w:szCs w:val="40"/>
          <w:lang w:val="en-US" w:eastAsia="zh-CN"/>
        </w:rPr>
      </w:pPr>
    </w:p>
    <w:p w14:paraId="754BC44F">
      <w:pPr>
        <w:widowControl/>
        <w:shd w:val="clear" w:color="auto" w:fill="FFFFFF"/>
        <w:spacing w:line="360" w:lineRule="auto"/>
        <w:jc w:val="both"/>
        <w:rPr>
          <w:rFonts w:hint="default" w:ascii="Times New Roman" w:hAnsi="Times New Roman" w:eastAsia="仿宋" w:cs="Times New Roman"/>
          <w:b/>
          <w:bCs/>
          <w:caps/>
          <w:color w:val="auto"/>
          <w:kern w:val="0"/>
          <w:sz w:val="40"/>
          <w:szCs w:val="40"/>
          <w:lang w:val="en-US" w:eastAsia="zh-CN"/>
        </w:rPr>
      </w:pPr>
    </w:p>
    <w:p w14:paraId="4442B8C6">
      <w:pPr>
        <w:widowControl/>
        <w:shd w:val="clear" w:color="auto" w:fill="FFFFFF"/>
        <w:spacing w:line="360" w:lineRule="auto"/>
        <w:jc w:val="both"/>
        <w:rPr>
          <w:rFonts w:hint="default" w:ascii="Times New Roman" w:hAnsi="Times New Roman" w:eastAsia="仿宋" w:cs="Times New Roman"/>
          <w:b/>
          <w:bCs/>
          <w:caps/>
          <w:color w:val="auto"/>
          <w:kern w:val="0"/>
          <w:sz w:val="40"/>
          <w:szCs w:val="40"/>
          <w:lang w:val="en-US" w:eastAsia="zh-CN"/>
        </w:rPr>
      </w:pPr>
    </w:p>
    <w:p w14:paraId="72256F28">
      <w:pPr>
        <w:widowControl/>
        <w:shd w:val="clear" w:color="auto" w:fill="FFFFFF"/>
        <w:spacing w:line="360" w:lineRule="auto"/>
        <w:jc w:val="both"/>
        <w:rPr>
          <w:rFonts w:hint="default" w:ascii="Times New Roman" w:hAnsi="Times New Roman" w:eastAsia="仿宋" w:cs="Times New Roman"/>
          <w:b/>
          <w:bCs/>
          <w:caps/>
          <w:color w:val="auto"/>
          <w:kern w:val="0"/>
          <w:sz w:val="40"/>
          <w:szCs w:val="40"/>
          <w:lang w:val="en-US" w:eastAsia="zh-CN"/>
        </w:rPr>
      </w:pPr>
    </w:p>
    <w:p w14:paraId="6883FAA4">
      <w:pPr>
        <w:widowControl/>
        <w:shd w:val="clear" w:color="auto" w:fill="FFFFFF"/>
        <w:spacing w:line="360" w:lineRule="auto"/>
        <w:jc w:val="both"/>
        <w:rPr>
          <w:rFonts w:hint="default" w:ascii="Times New Roman" w:hAnsi="Times New Roman" w:eastAsia="仿宋" w:cs="Times New Roman"/>
          <w:b/>
          <w:bCs/>
          <w:caps/>
          <w:color w:val="auto"/>
          <w:kern w:val="0"/>
          <w:sz w:val="40"/>
          <w:szCs w:val="40"/>
          <w:lang w:val="en-US" w:eastAsia="zh-CN"/>
        </w:rPr>
      </w:pPr>
    </w:p>
    <w:p w14:paraId="593EBA9B">
      <w:pPr>
        <w:widowControl/>
        <w:shd w:val="clear" w:color="auto" w:fill="FFFFFF"/>
        <w:spacing w:line="360" w:lineRule="auto"/>
        <w:jc w:val="both"/>
        <w:rPr>
          <w:rFonts w:hint="default" w:ascii="Times New Roman" w:hAnsi="Times New Roman" w:eastAsia="仿宋" w:cs="Times New Roman"/>
          <w:b/>
          <w:bCs/>
          <w:caps/>
          <w:color w:val="auto"/>
          <w:kern w:val="0"/>
          <w:sz w:val="40"/>
          <w:szCs w:val="40"/>
          <w:lang w:val="en-US" w:eastAsia="zh-CN"/>
        </w:rPr>
      </w:pPr>
    </w:p>
    <w:p w14:paraId="6A6E1524">
      <w:pPr>
        <w:widowControl/>
        <w:shd w:val="clear" w:color="auto" w:fill="FFFFFF"/>
        <w:spacing w:line="360" w:lineRule="auto"/>
        <w:jc w:val="both"/>
        <w:rPr>
          <w:rFonts w:hint="default" w:ascii="Times New Roman" w:hAnsi="Times New Roman" w:eastAsia="仿宋" w:cs="Times New Roman"/>
          <w:b/>
          <w:bCs/>
          <w:caps/>
          <w:color w:val="auto"/>
          <w:kern w:val="0"/>
          <w:sz w:val="40"/>
          <w:szCs w:val="40"/>
          <w:lang w:val="en-US" w:eastAsia="zh-CN"/>
        </w:rPr>
      </w:pPr>
    </w:p>
    <w:p w14:paraId="100574F8">
      <w:pPr>
        <w:widowControl/>
        <w:shd w:val="clear" w:color="auto" w:fill="FFFFFF"/>
        <w:spacing w:line="360" w:lineRule="auto"/>
        <w:jc w:val="both"/>
        <w:rPr>
          <w:rFonts w:hint="default" w:ascii="Times New Roman" w:hAnsi="Times New Roman" w:eastAsia="仿宋" w:cs="Times New Roman"/>
          <w:b/>
          <w:bCs/>
          <w:caps/>
          <w:color w:val="auto"/>
          <w:kern w:val="0"/>
          <w:sz w:val="40"/>
          <w:szCs w:val="40"/>
          <w:lang w:val="en-US" w:eastAsia="zh-CN"/>
        </w:rPr>
      </w:pPr>
    </w:p>
    <w:p w14:paraId="7A66C16D">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26"/>
        <w:tblW w:w="9887" w:type="dxa"/>
        <w:jc w:val="center"/>
        <w:tblLayout w:type="fixed"/>
        <w:tblCellMar>
          <w:top w:w="0" w:type="dxa"/>
          <w:left w:w="108" w:type="dxa"/>
          <w:bottom w:w="0" w:type="dxa"/>
          <w:right w:w="108" w:type="dxa"/>
        </w:tblCellMar>
      </w:tblPr>
      <w:tblGrid>
        <w:gridCol w:w="753"/>
        <w:gridCol w:w="1986"/>
        <w:gridCol w:w="7148"/>
      </w:tblGrid>
      <w:tr w14:paraId="260F31D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4061F6">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947A5D">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F443A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22CB62B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C701E5">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A332A2">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D0ECE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zh-CN" w:eastAsia="zh-CN"/>
              </w:rPr>
              <w:t>项目名称：</w:t>
            </w:r>
            <w:r>
              <w:rPr>
                <w:rFonts w:hint="default" w:ascii="Times New Roman" w:hAnsi="Times New Roman" w:eastAsia="仿宋" w:cs="Times New Roman"/>
                <w:color w:val="auto"/>
                <w:sz w:val="24"/>
                <w:szCs w:val="24"/>
                <w:lang w:val="en-US" w:eastAsia="zh-CN"/>
              </w:rPr>
              <w:t>许昌市城投发展集团有限公司2025年度非公开发行专项品种公司债券主承销商招标代理机构比选项目</w:t>
            </w:r>
          </w:p>
          <w:p w14:paraId="67DAE44F">
            <w:pPr>
              <w:spacing w:line="360" w:lineRule="auto"/>
              <w:jc w:val="lef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t>项目编号：</w:t>
            </w:r>
            <w:r>
              <w:rPr>
                <w:rFonts w:hint="default" w:ascii="Times New Roman" w:hAnsi="Times New Roman" w:eastAsia="仿宋" w:cs="Times New Roman"/>
                <w:color w:val="auto"/>
                <w:sz w:val="24"/>
                <w:szCs w:val="24"/>
                <w:lang w:val="en-US" w:eastAsia="zh-CN"/>
              </w:rPr>
              <w:t>RZB-2025001</w:t>
            </w:r>
            <w:r>
              <w:rPr>
                <w:rFonts w:hint="default" w:ascii="Times New Roman" w:hAnsi="Times New Roman" w:eastAsia="仿宋" w:cs="Times New Roman"/>
                <w:color w:val="auto"/>
                <w:sz w:val="24"/>
                <w:szCs w:val="24"/>
                <w:lang w:eastAsia="zh-CN"/>
              </w:rPr>
              <w:t xml:space="preserve">号 </w:t>
            </w:r>
          </w:p>
          <w:p w14:paraId="53877D02">
            <w:pPr>
              <w:spacing w:line="360" w:lineRule="auto"/>
              <w:jc w:val="left"/>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eastAsia="zh-CN"/>
              </w:rPr>
              <w:t>项目内容：</w:t>
            </w:r>
            <w:r>
              <w:rPr>
                <w:rFonts w:hint="default" w:ascii="Times New Roman" w:hAnsi="Times New Roman" w:eastAsia="仿宋" w:cs="Times New Roman"/>
                <w:color w:val="auto"/>
                <w:sz w:val="24"/>
                <w:szCs w:val="24"/>
                <w:lang w:val="en-US" w:eastAsia="zh-CN"/>
              </w:rPr>
              <w:t>通过比选的方式选聘2025年度非公开发行专项品种公司债券主承销商招标项目招标代理机构，以便顺利完成2025年度非公开发行专项品种公司债券主承销商招标项目招标工作。</w:t>
            </w:r>
          </w:p>
        </w:tc>
      </w:tr>
      <w:tr w14:paraId="286FCFA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A17A8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246D6E">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6DF44A">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比选</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名称：许昌市城投发展集团有限公司</w:t>
            </w:r>
            <w:r>
              <w:rPr>
                <w:rFonts w:hint="default" w:ascii="Times New Roman" w:hAnsi="Times New Roman" w:eastAsia="仿宋" w:cs="Times New Roman"/>
                <w:color w:val="auto"/>
                <w:sz w:val="24"/>
                <w:szCs w:val="24"/>
                <w:highlight w:val="none"/>
                <w:shd w:val="clear" w:color="auto" w:fill="FFFFFF"/>
              </w:rPr>
              <w:t xml:space="preserve"> </w:t>
            </w:r>
          </w:p>
          <w:p w14:paraId="7AA6F524">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址：许昌市建安大道东段财政综合大楼</w:t>
            </w:r>
            <w:r>
              <w:rPr>
                <w:rFonts w:hint="default" w:ascii="Times New Roman" w:hAnsi="Times New Roman" w:eastAsia="仿宋" w:cs="Times New Roman"/>
                <w:bCs/>
                <w:color w:val="auto"/>
                <w:sz w:val="24"/>
                <w:szCs w:val="24"/>
                <w:highlight w:val="none"/>
                <w:lang w:val="en-US" w:eastAsia="zh-CN"/>
              </w:rPr>
              <w:t>816房间</w:t>
            </w:r>
          </w:p>
          <w:p w14:paraId="4271F80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 xml:space="preserve">联 系 人：白先生           </w:t>
            </w:r>
          </w:p>
          <w:p w14:paraId="288BBF8B">
            <w:pPr>
              <w:autoSpaceDE w:val="0"/>
              <w:autoSpaceDN w:val="0"/>
              <w:adjustRightInd w:val="0"/>
              <w:spacing w:line="540" w:lineRule="exact"/>
              <w:ind w:right="-11" w:rightChars="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4E2880E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1E7B22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8D87A0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B0C093">
            <w:pPr>
              <w:numPr>
                <w:ilvl w:val="0"/>
                <w:numId w:val="4"/>
              </w:numPr>
              <w:snapToGrid w:val="0"/>
              <w:spacing w:line="520" w:lineRule="exact"/>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rPr>
              <w:t>符合《中华人民共和国政府采购法》第二十二条规定</w:t>
            </w:r>
          </w:p>
          <w:p w14:paraId="2F2FE367">
            <w:pPr>
              <w:numPr>
                <w:ilvl w:val="0"/>
                <w:numId w:val="4"/>
              </w:numPr>
              <w:snapToGrid w:val="0"/>
              <w:spacing w:line="520" w:lineRule="exact"/>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特殊资格要求</w:t>
            </w:r>
          </w:p>
          <w:p w14:paraId="0AFB36E3">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rPr>
              <w:t>1</w:t>
            </w:r>
            <w:r>
              <w:rPr>
                <w:rFonts w:hint="eastAsia" w:ascii="Times New Roman" w:hAnsi="Times New Roman" w:eastAsia="仿宋" w:cs="Times New Roman"/>
                <w:bCs/>
                <w:color w:val="auto"/>
                <w:sz w:val="24"/>
                <w:szCs w:val="24"/>
                <w:highlight w:val="none"/>
                <w:lang w:val="en-US" w:eastAsia="zh-CN"/>
              </w:rPr>
              <w:t>.</w:t>
            </w:r>
            <w:r>
              <w:rPr>
                <w:rFonts w:hint="default" w:ascii="Times New Roman" w:hAnsi="Times New Roman" w:eastAsia="仿宋" w:cs="Times New Roman"/>
                <w:bCs/>
                <w:color w:val="auto"/>
                <w:sz w:val="24"/>
                <w:szCs w:val="24"/>
                <w:highlight w:val="none"/>
              </w:rPr>
              <w:t>在中华人民共和国境内注册，</w:t>
            </w:r>
            <w:r>
              <w:rPr>
                <w:rFonts w:hint="default" w:ascii="Times New Roman" w:hAnsi="Times New Roman" w:eastAsia="仿宋" w:cs="Times New Roman"/>
                <w:bCs/>
                <w:color w:val="auto"/>
                <w:sz w:val="24"/>
                <w:szCs w:val="24"/>
                <w:highlight w:val="none"/>
                <w:lang w:eastAsia="zh-CN"/>
              </w:rPr>
              <w:t>具备独立法人资格，持有合法有效的企业法人营业执照；</w:t>
            </w:r>
          </w:p>
          <w:p w14:paraId="5579FA61">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lang w:val="en-US" w:eastAsia="zh-CN"/>
              </w:rPr>
              <w:t>2</w:t>
            </w:r>
            <w:r>
              <w:rPr>
                <w:rFonts w:hint="eastAsia" w:ascii="Times New Roman" w:hAnsi="Times New Roman" w:eastAsia="仿宋" w:cs="Times New Roman"/>
                <w:bCs/>
                <w:color w:val="auto"/>
                <w:sz w:val="24"/>
                <w:szCs w:val="24"/>
                <w:highlight w:val="none"/>
                <w:lang w:val="en-US" w:eastAsia="zh-CN"/>
              </w:rPr>
              <w:t>.</w:t>
            </w:r>
            <w:r>
              <w:rPr>
                <w:rFonts w:hint="default" w:ascii="Times New Roman" w:hAnsi="Times New Roman" w:eastAsia="仿宋" w:cs="Times New Roman"/>
                <w:bCs/>
                <w:color w:val="auto"/>
                <w:sz w:val="24"/>
                <w:szCs w:val="24"/>
                <w:highlight w:val="none"/>
                <w:lang w:eastAsia="zh-CN"/>
              </w:rPr>
              <w:t>符合《中华人民共和国招投标法》第十三条等相关规定</w:t>
            </w:r>
            <w:r>
              <w:rPr>
                <w:rFonts w:hint="default" w:ascii="Times New Roman" w:hAnsi="Times New Roman" w:eastAsia="仿宋" w:cs="Times New Roman"/>
                <w:bCs/>
                <w:color w:val="auto"/>
                <w:sz w:val="24"/>
                <w:szCs w:val="24"/>
                <w:highlight w:val="none"/>
              </w:rPr>
              <w:t>；</w:t>
            </w:r>
          </w:p>
          <w:p w14:paraId="660E0187">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lang w:val="en-US" w:eastAsia="zh-CN"/>
              </w:rPr>
              <w:t>3</w:t>
            </w:r>
            <w:r>
              <w:rPr>
                <w:rFonts w:hint="eastAsia" w:ascii="Times New Roman" w:hAnsi="Times New Roman" w:eastAsia="仿宋" w:cs="Times New Roman"/>
                <w:bCs/>
                <w:color w:val="auto"/>
                <w:sz w:val="24"/>
                <w:szCs w:val="24"/>
                <w:highlight w:val="none"/>
                <w:lang w:val="en-US" w:eastAsia="zh-CN"/>
              </w:rPr>
              <w:t>.</w:t>
            </w:r>
            <w:r>
              <w:rPr>
                <w:rFonts w:hint="default" w:ascii="Times New Roman" w:hAnsi="Times New Roman" w:eastAsia="仿宋" w:cs="Times New Roman"/>
                <w:bCs/>
                <w:color w:val="auto"/>
                <w:sz w:val="24"/>
                <w:szCs w:val="24"/>
                <w:highlight w:val="none"/>
              </w:rPr>
              <w:t>近三年未因重大的执业质量等问题被责令停业，没有处于破产或存在其他违法行为；</w:t>
            </w:r>
          </w:p>
          <w:p w14:paraId="02003984">
            <w:pPr>
              <w:autoSpaceDE w:val="0"/>
              <w:autoSpaceDN w:val="0"/>
              <w:adjustRightInd w:val="0"/>
              <w:spacing w:line="540" w:lineRule="exact"/>
              <w:ind w:right="-11"/>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bCs/>
                <w:color w:val="auto"/>
                <w:sz w:val="24"/>
                <w:szCs w:val="24"/>
                <w:highlight w:val="none"/>
                <w:lang w:val="en-US" w:eastAsia="zh-CN"/>
              </w:rPr>
              <w:t>4</w:t>
            </w:r>
            <w:r>
              <w:rPr>
                <w:rFonts w:hint="eastAsia" w:ascii="Times New Roman" w:hAnsi="Times New Roman" w:eastAsia="仿宋" w:cs="Times New Roman"/>
                <w:bCs/>
                <w:color w:val="auto"/>
                <w:sz w:val="24"/>
                <w:szCs w:val="24"/>
                <w:highlight w:val="none"/>
                <w:lang w:val="en-US" w:eastAsia="zh-CN"/>
              </w:rPr>
              <w:t>.</w:t>
            </w:r>
            <w:r>
              <w:rPr>
                <w:rFonts w:hint="default" w:ascii="Times New Roman" w:hAnsi="Times New Roman" w:eastAsia="仿宋" w:cs="Times New Roman"/>
                <w:bCs/>
                <w:color w:val="auto"/>
                <w:sz w:val="24"/>
                <w:szCs w:val="24"/>
                <w:highlight w:val="none"/>
              </w:rPr>
              <w:t>未</w:t>
            </w:r>
            <w:r>
              <w:rPr>
                <w:rFonts w:hint="default" w:ascii="Times New Roman" w:hAnsi="Times New Roman" w:eastAsia="仿宋" w:cs="Times New Roman"/>
                <w:bCs/>
                <w:color w:val="auto"/>
                <w:sz w:val="24"/>
                <w:szCs w:val="24"/>
                <w:highlight w:val="none"/>
                <w:lang w:val="en-US" w:eastAsia="zh-CN"/>
              </w:rPr>
              <w:t>被列入经营异常名录或者严重违法失信名单、失信被执行人，重大税收违法案件当事人名单、政府采购严重违法失信行为记录名单</w:t>
            </w:r>
            <w:r>
              <w:rPr>
                <w:rFonts w:hint="default" w:ascii="Times New Roman" w:hAnsi="Times New Roman" w:eastAsia="仿宋" w:cs="Times New Roman"/>
                <w:bCs/>
                <w:color w:val="auto"/>
                <w:sz w:val="24"/>
                <w:szCs w:val="24"/>
                <w:highlight w:val="none"/>
              </w:rPr>
              <w:t>。</w:t>
            </w:r>
          </w:p>
        </w:tc>
      </w:tr>
      <w:tr w14:paraId="10E4AD5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B6A3D7">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C836F6">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0C1AA4">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5385314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05871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CD64CA">
            <w:pPr>
              <w:autoSpaceDE w:val="0"/>
              <w:autoSpaceDN w:val="0"/>
              <w:adjustRightInd w:val="0"/>
              <w:spacing w:line="540" w:lineRule="exact"/>
              <w:jc w:val="center"/>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eastAsia="zh-CN"/>
              </w:rPr>
              <w:t>招标代理</w:t>
            </w:r>
          </w:p>
          <w:p w14:paraId="40C9F09B">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highlight w:val="none"/>
                <w:lang w:eastAsia="zh-CN"/>
              </w:rPr>
              <w:t>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9608E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b w:val="0"/>
                <w:bCs/>
                <w:color w:val="auto"/>
                <w:sz w:val="24"/>
                <w:szCs w:val="24"/>
                <w:highlight w:val="none"/>
                <w:lang w:val="zh-CN" w:eastAsia="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b w:val="0"/>
                <w:bCs/>
                <w:color w:val="auto"/>
                <w:sz w:val="24"/>
                <w:szCs w:val="24"/>
                <w:highlight w:val="none"/>
                <w:lang w:eastAsia="zh-CN"/>
              </w:rPr>
              <w:t>依据《国家计委关于印发</w:t>
            </w:r>
            <w:r>
              <w:rPr>
                <w:rFonts w:hint="default" w:ascii="Times New Roman" w:hAnsi="Times New Roman" w:eastAsia="仿宋" w:cs="Times New Roman"/>
                <w:b w:val="0"/>
                <w:bCs/>
                <w:color w:val="auto"/>
                <w:sz w:val="24"/>
                <w:szCs w:val="24"/>
                <w:highlight w:val="none"/>
                <w:lang w:val="en-US" w:eastAsia="zh-CN"/>
              </w:rPr>
              <w:t>&lt;招标代理服务收费管理暂行办法&gt;的通知</w:t>
            </w:r>
            <w:r>
              <w:rPr>
                <w:rFonts w:hint="default" w:ascii="Times New Roman" w:hAnsi="Times New Roman" w:eastAsia="仿宋" w:cs="Times New Roman"/>
                <w:b w:val="0"/>
                <w:bCs/>
                <w:color w:val="auto"/>
                <w:sz w:val="24"/>
                <w:szCs w:val="24"/>
                <w:highlight w:val="none"/>
                <w:lang w:eastAsia="zh-CN"/>
              </w:rPr>
              <w:t>》（计价〔</w:t>
            </w:r>
            <w:r>
              <w:rPr>
                <w:rFonts w:hint="default" w:ascii="Times New Roman" w:hAnsi="Times New Roman" w:eastAsia="仿宋" w:cs="Times New Roman"/>
                <w:b w:val="0"/>
                <w:bCs/>
                <w:color w:val="auto"/>
                <w:sz w:val="24"/>
                <w:szCs w:val="24"/>
                <w:highlight w:val="none"/>
                <w:lang w:val="en-US" w:eastAsia="zh-CN"/>
              </w:rPr>
              <w:t>2002</w:t>
            </w:r>
            <w:r>
              <w:rPr>
                <w:rFonts w:hint="default" w:ascii="Times New Roman" w:hAnsi="Times New Roman" w:eastAsia="仿宋" w:cs="Times New Roman"/>
                <w:b w:val="0"/>
                <w:bCs/>
                <w:color w:val="auto"/>
                <w:sz w:val="24"/>
                <w:szCs w:val="24"/>
                <w:highlight w:val="none"/>
                <w:lang w:eastAsia="zh-CN"/>
              </w:rPr>
              <w:t>〕</w:t>
            </w:r>
            <w:r>
              <w:rPr>
                <w:rFonts w:hint="default" w:ascii="Times New Roman" w:hAnsi="Times New Roman" w:eastAsia="仿宋" w:cs="Times New Roman"/>
                <w:b w:val="0"/>
                <w:bCs/>
                <w:color w:val="auto"/>
                <w:sz w:val="24"/>
                <w:szCs w:val="24"/>
                <w:highlight w:val="none"/>
                <w:lang w:val="en-US" w:eastAsia="zh-CN"/>
              </w:rPr>
              <w:t>1980号</w:t>
            </w:r>
            <w:r>
              <w:rPr>
                <w:rFonts w:hint="default" w:ascii="Times New Roman" w:hAnsi="Times New Roman" w:eastAsia="仿宋" w:cs="Times New Roman"/>
                <w:b w:val="0"/>
                <w:bCs/>
                <w:color w:val="auto"/>
                <w:sz w:val="24"/>
                <w:szCs w:val="24"/>
                <w:highlight w:val="none"/>
                <w:lang w:eastAsia="zh-CN"/>
              </w:rPr>
              <w:t>）和《国家发展改革委关于进一步开放建设项目专业服务价格的通知》（发改价格〔</w:t>
            </w:r>
            <w:r>
              <w:rPr>
                <w:rFonts w:hint="default" w:ascii="Times New Roman" w:hAnsi="Times New Roman" w:eastAsia="仿宋" w:cs="Times New Roman"/>
                <w:b w:val="0"/>
                <w:bCs/>
                <w:color w:val="auto"/>
                <w:sz w:val="24"/>
                <w:szCs w:val="24"/>
                <w:highlight w:val="none"/>
                <w:lang w:val="en-US" w:eastAsia="zh-CN"/>
              </w:rPr>
              <w:t>2015</w:t>
            </w:r>
            <w:r>
              <w:rPr>
                <w:rFonts w:hint="default" w:ascii="Times New Roman" w:hAnsi="Times New Roman" w:eastAsia="仿宋" w:cs="Times New Roman"/>
                <w:b w:val="0"/>
                <w:bCs/>
                <w:color w:val="auto"/>
                <w:sz w:val="24"/>
                <w:szCs w:val="24"/>
                <w:highlight w:val="none"/>
                <w:lang w:eastAsia="zh-CN"/>
              </w:rPr>
              <w:t>〕</w:t>
            </w:r>
            <w:r>
              <w:rPr>
                <w:rFonts w:hint="default" w:ascii="Times New Roman" w:hAnsi="Times New Roman" w:eastAsia="仿宋" w:cs="Times New Roman"/>
                <w:b w:val="0"/>
                <w:bCs/>
                <w:color w:val="auto"/>
                <w:sz w:val="24"/>
                <w:szCs w:val="24"/>
                <w:highlight w:val="none"/>
                <w:lang w:val="en-US" w:eastAsia="zh-CN"/>
              </w:rPr>
              <w:t>299号</w:t>
            </w:r>
            <w:r>
              <w:rPr>
                <w:rFonts w:hint="default" w:ascii="Times New Roman" w:hAnsi="Times New Roman" w:eastAsia="仿宋" w:cs="Times New Roman"/>
                <w:b w:val="0"/>
                <w:bCs/>
                <w:color w:val="auto"/>
                <w:sz w:val="24"/>
                <w:szCs w:val="24"/>
                <w:highlight w:val="none"/>
                <w:lang w:eastAsia="zh-CN"/>
              </w:rPr>
              <w:t>）文件规定的收费标准，服务费率报价下浮率不低于</w:t>
            </w:r>
            <w:r>
              <w:rPr>
                <w:rFonts w:hint="default" w:ascii="Times New Roman" w:hAnsi="Times New Roman" w:eastAsia="仿宋" w:cs="Times New Roman"/>
                <w:b w:val="0"/>
                <w:bCs/>
                <w:color w:val="auto"/>
                <w:sz w:val="24"/>
                <w:szCs w:val="24"/>
                <w:highlight w:val="none"/>
                <w:lang w:val="en-US" w:eastAsia="zh-CN"/>
              </w:rPr>
              <w:t>20%</w:t>
            </w:r>
            <w:r>
              <w:rPr>
                <w:rFonts w:hint="default" w:ascii="Times New Roman" w:hAnsi="Times New Roman" w:eastAsia="仿宋" w:cs="Times New Roman"/>
                <w:b w:val="0"/>
                <w:bCs/>
                <w:color w:val="auto"/>
                <w:sz w:val="24"/>
                <w:szCs w:val="24"/>
                <w:highlight w:val="none"/>
                <w:lang w:val="zh-CN" w:eastAsia="zh-CN"/>
              </w:rPr>
              <w:t>，超出最高限价的投标报价无效。</w:t>
            </w:r>
          </w:p>
          <w:p w14:paraId="51922885">
            <w:pPr>
              <w:numPr>
                <w:numId w:val="0"/>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eastAsia" w:ascii="Times New Roman" w:hAnsi="Times New Roman" w:eastAsia="仿宋" w:cs="Times New Roman"/>
                <w:b/>
                <w:color w:val="auto"/>
                <w:sz w:val="24"/>
                <w:szCs w:val="24"/>
                <w:highlight w:val="none"/>
                <w:lang w:val="en-US" w:eastAsia="zh-CN"/>
              </w:rPr>
              <w:t>1.</w:t>
            </w: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eastAsia="zh-CN"/>
              </w:rPr>
              <w:t>整体报价。</w:t>
            </w:r>
          </w:p>
          <w:p w14:paraId="7B5A2844">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eastAsia" w:ascii="Times New Roman" w:hAnsi="Times New Roman" w:eastAsia="仿宋" w:cs="Times New Roman"/>
                <w:b/>
                <w:color w:val="auto"/>
                <w:sz w:val="24"/>
                <w:szCs w:val="24"/>
                <w:highlight w:val="none"/>
                <w:lang w:val="en-US" w:eastAsia="zh-CN"/>
              </w:rPr>
              <w:t>2.</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按照服务费率报价下浮率进行报价，报价保留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760DC90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7C2C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BFE748">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8A7C1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43C1D584">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1B88E1E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C38749">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7DB6F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BD743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567AE97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1D0D23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4EBA20">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A73E16">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CD1935">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90天（自提交投标文件的截止之日起算）</w:t>
            </w:r>
          </w:p>
          <w:p w14:paraId="2E2C7EC1">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5572CED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707C3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2104C4">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4E1827">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3BDD58C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41C884">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791D15">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42EEAF">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202</w:t>
            </w:r>
            <w:r>
              <w:rPr>
                <w:rFonts w:hint="default" w:ascii="Times New Roman" w:hAnsi="Times New Roman" w:eastAsia="仿宋" w:cs="Times New Roman"/>
                <w:bCs/>
                <w:color w:val="auto"/>
                <w:sz w:val="24"/>
                <w:szCs w:val="24"/>
                <w:highlight w:val="none"/>
                <w:lang w:val="en-US" w:eastAsia="zh-CN"/>
              </w:rPr>
              <w:t>5</w:t>
            </w:r>
            <w:r>
              <w:rPr>
                <w:rFonts w:hint="default" w:ascii="Times New Roman" w:hAnsi="Times New Roman" w:eastAsia="仿宋" w:cs="Times New Roman"/>
                <w:bCs/>
                <w:color w:val="auto"/>
                <w:sz w:val="24"/>
                <w:szCs w:val="24"/>
                <w:highlight w:val="none"/>
                <w:lang w:val="zh-CN"/>
              </w:rPr>
              <w:t>年</w:t>
            </w:r>
            <w:r>
              <w:rPr>
                <w:rFonts w:hint="default" w:ascii="Times New Roman" w:hAnsi="Times New Roman" w:eastAsia="仿宋" w:cs="Times New Roman"/>
                <w:bCs/>
                <w:color w:val="auto"/>
                <w:sz w:val="24"/>
                <w:szCs w:val="24"/>
                <w:highlight w:val="none"/>
                <w:lang w:val="en-US" w:eastAsia="zh-CN"/>
              </w:rPr>
              <w:t>4</w:t>
            </w:r>
            <w:r>
              <w:rPr>
                <w:rFonts w:hint="default" w:ascii="Times New Roman" w:hAnsi="Times New Roman" w:eastAsia="仿宋" w:cs="Times New Roman"/>
                <w:bCs/>
                <w:color w:val="auto"/>
                <w:sz w:val="24"/>
                <w:szCs w:val="24"/>
                <w:highlight w:val="none"/>
                <w:lang w:val="zh-CN"/>
              </w:rPr>
              <w:t>月</w:t>
            </w:r>
            <w:r>
              <w:rPr>
                <w:rFonts w:hint="default" w:ascii="Times New Roman" w:hAnsi="Times New Roman" w:eastAsia="仿宋" w:cs="Times New Roman"/>
                <w:bCs/>
                <w:color w:val="auto"/>
                <w:sz w:val="24"/>
                <w:szCs w:val="24"/>
                <w:highlight w:val="none"/>
                <w:lang w:val="en-US" w:eastAsia="zh-CN"/>
              </w:rPr>
              <w:t>21</w:t>
            </w:r>
            <w:r>
              <w:rPr>
                <w:rFonts w:hint="default" w:ascii="Times New Roman" w:hAnsi="Times New Roman" w:eastAsia="仿宋" w:cs="Times New Roman"/>
                <w:bCs/>
                <w:color w:val="auto"/>
                <w:sz w:val="24"/>
                <w:szCs w:val="24"/>
                <w:highlight w:val="none"/>
                <w:lang w:val="zh-CN"/>
              </w:rPr>
              <w:t>日</w:t>
            </w:r>
            <w:r>
              <w:rPr>
                <w:rFonts w:hint="default" w:ascii="Times New Roman" w:hAnsi="Times New Roman" w:eastAsia="仿宋" w:cs="Times New Roman"/>
                <w:bCs/>
                <w:color w:val="auto"/>
                <w:sz w:val="24"/>
                <w:szCs w:val="24"/>
                <w:highlight w:val="none"/>
                <w:lang w:val="en-US" w:eastAsia="zh-CN"/>
              </w:rPr>
              <w:t>18</w:t>
            </w:r>
            <w:r>
              <w:rPr>
                <w:rFonts w:hint="default" w:ascii="Times New Roman" w:hAnsi="Times New Roman" w:eastAsia="仿宋" w:cs="Times New Roman"/>
                <w:bCs/>
                <w:color w:val="auto"/>
                <w:sz w:val="24"/>
                <w:szCs w:val="24"/>
                <w:highlight w:val="none"/>
                <w:lang w:val="zh-CN"/>
              </w:rPr>
              <w:t>时</w:t>
            </w:r>
            <w:r>
              <w:rPr>
                <w:rFonts w:hint="default" w:ascii="Times New Roman" w:hAnsi="Times New Roman" w:eastAsia="仿宋" w:cs="Times New Roman"/>
                <w:bCs/>
                <w:color w:val="auto"/>
                <w:sz w:val="24"/>
                <w:szCs w:val="24"/>
                <w:highlight w:val="none"/>
                <w:lang w:val="en-US" w:eastAsia="zh-CN"/>
              </w:rPr>
              <w:t>00</w:t>
            </w:r>
            <w:r>
              <w:rPr>
                <w:rFonts w:hint="default" w:ascii="Times New Roman" w:hAnsi="Times New Roman" w:eastAsia="仿宋" w:cs="Times New Roman"/>
                <w:bCs/>
                <w:color w:val="auto"/>
                <w:sz w:val="24"/>
                <w:szCs w:val="24"/>
                <w:highlight w:val="none"/>
                <w:lang w:val="zh-CN"/>
              </w:rPr>
              <w:t>分（北京时间）</w:t>
            </w:r>
          </w:p>
        </w:tc>
      </w:tr>
      <w:tr w14:paraId="49BE174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99AE63">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A9890E">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2A5D00">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color w:val="auto"/>
                <w:sz w:val="24"/>
                <w:szCs w:val="24"/>
                <w:lang w:eastAsia="zh-CN"/>
              </w:rPr>
              <w:t>许昌市城投发展集团有限公司</w:t>
            </w:r>
            <w:r>
              <w:rPr>
                <w:rFonts w:hint="default" w:ascii="Times New Roman" w:hAnsi="Times New Roman" w:eastAsia="仿宋" w:cs="Times New Roman"/>
                <w:color w:val="auto"/>
                <w:sz w:val="24"/>
                <w:szCs w:val="24"/>
                <w:lang w:val="en-US" w:eastAsia="zh-CN"/>
              </w:rPr>
              <w:t>8楼816房间</w:t>
            </w:r>
            <w:r>
              <w:rPr>
                <w:rFonts w:hint="default" w:ascii="Times New Roman" w:hAnsi="Times New Roman" w:eastAsia="仿宋" w:cs="Times New Roman"/>
                <w:color w:val="auto"/>
                <w:sz w:val="24"/>
                <w:szCs w:val="24"/>
                <w:lang w:val="zh-CN"/>
              </w:rPr>
              <w:t>。</w:t>
            </w:r>
          </w:p>
        </w:tc>
      </w:tr>
      <w:tr w14:paraId="456909F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BBABD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588F8C">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580813">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sz w:val="24"/>
                <w:szCs w:val="24"/>
                <w:lang w:eastAsia="zh-CN"/>
              </w:rPr>
              <w:t>。</w:t>
            </w:r>
          </w:p>
        </w:tc>
      </w:tr>
      <w:tr w14:paraId="445A430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8989FD">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FF459F">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1A6913">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纸质投标文件：纸质版投标文件正本1份（需密封胶装）</w:t>
            </w:r>
          </w:p>
        </w:tc>
      </w:tr>
      <w:tr w14:paraId="49E7AF0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7B1192">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310B25">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EFD8CE">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7CD18F29">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7E12787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7CEB45">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717234">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CB3274">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7B58C91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D303AB">
            <w:pPr>
              <w:autoSpaceDE w:val="0"/>
              <w:autoSpaceDN w:val="0"/>
              <w:adjustRightInd w:val="0"/>
              <w:spacing w:line="360" w:lineRule="auto"/>
              <w:jc w:val="center"/>
              <w:rPr>
                <w:rFonts w:hint="default" w:ascii="Times New Roman" w:hAnsi="Times New Roman" w:eastAsia="仿宋" w:cs="Times New Roman"/>
                <w:sz w:val="24"/>
                <w:szCs w:val="24"/>
                <w:shd w:val="clear" w:color="050000" w:fill="auto"/>
                <w:lang w:val="en-US" w:eastAsia="zh-CN"/>
              </w:rPr>
            </w:pPr>
            <w:r>
              <w:rPr>
                <w:rFonts w:hint="default" w:ascii="Times New Roman" w:hAnsi="Times New Roman" w:eastAsia="仿宋" w:cs="Times New Roman"/>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02FFCD">
            <w:pPr>
              <w:spacing w:line="360" w:lineRule="auto"/>
              <w:jc w:val="center"/>
              <w:rPr>
                <w:rFonts w:hint="default" w:ascii="Times New Roman" w:hAnsi="Times New Roman" w:eastAsia="仿宋" w:cs="Times New Roman"/>
                <w:sz w:val="24"/>
                <w:szCs w:val="24"/>
                <w:shd w:val="clear" w:color="050000" w:fill="auto"/>
              </w:rPr>
            </w:pPr>
            <w:r>
              <w:rPr>
                <w:rFonts w:hint="default" w:ascii="Times New Roman" w:hAnsi="Times New Roman" w:eastAsia="仿宋" w:cs="Times New Roman"/>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BB7AB1">
            <w:pPr>
              <w:autoSpaceDE w:val="0"/>
              <w:autoSpaceDN w:val="0"/>
              <w:adjustRightInd w:val="0"/>
              <w:spacing w:line="360" w:lineRule="auto"/>
              <w:rPr>
                <w:rFonts w:hint="default" w:ascii="Times New Roman" w:hAnsi="Times New Roman" w:eastAsia="仿宋" w:cs="Times New Roman"/>
                <w:sz w:val="24"/>
                <w:szCs w:val="24"/>
                <w:lang w:val="zh-CN"/>
              </w:rPr>
            </w:pPr>
            <w:r>
              <w:rPr>
                <w:rFonts w:hint="default" w:ascii="Times New Roman" w:hAnsi="Times New Roman" w:eastAsia="仿宋" w:cs="Times New Roman"/>
                <w:bCs/>
                <w:sz w:val="24"/>
                <w:szCs w:val="24"/>
                <w:lang w:val="zh-CN"/>
              </w:rPr>
              <w:t>无要求</w:t>
            </w:r>
          </w:p>
        </w:tc>
      </w:tr>
      <w:tr w14:paraId="5FC3498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B763CD">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FD9724">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3CEFAC">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潜在投标人如对比选文件有异议，请向比选人以书面形式在比选活动结束后7天内提出，逾期将不予受理。</w:t>
            </w:r>
          </w:p>
        </w:tc>
      </w:tr>
    </w:tbl>
    <w:p w14:paraId="61F96A92">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7AA18134">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113EA1F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3C204B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eastAsia="zh-CN"/>
        </w:rPr>
        <w:t>评审小组对对投标人资格进行检查。</w:t>
      </w:r>
      <w:r>
        <w:rPr>
          <w:rFonts w:hint="default" w:ascii="Times New Roman" w:hAnsi="Times New Roman" w:eastAsia="仿宋_GB2312" w:cs="Times New Roman"/>
          <w:sz w:val="32"/>
          <w:szCs w:val="32"/>
          <w:lang w:val="zh-CN" w:eastAsia="zh-CN"/>
        </w:rPr>
        <w:t>确定符合资格的投标人不少于3家后对投标文件进行符合性审查。</w:t>
      </w:r>
    </w:p>
    <w:p w14:paraId="7D7290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eastAsia="zh-CN"/>
        </w:rPr>
        <w:t>注：</w:t>
      </w:r>
      <w:r>
        <w:rPr>
          <w:rFonts w:hint="default" w:ascii="Times New Roman" w:hAnsi="Times New Roman" w:eastAsia="仿宋_GB2312" w:cs="Times New Roman"/>
          <w:sz w:val="32"/>
          <w:szCs w:val="32"/>
          <w:lang w:eastAsia="zh-CN"/>
        </w:rPr>
        <w:t>（1）资格证明材料。</w:t>
      </w:r>
    </w:p>
    <w:p w14:paraId="67E3C8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（2）资格审查中所涉及到的证书及材料，</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eastAsia="zh-CN"/>
        </w:rPr>
        <w:t>在投标文件中提供原件扫描件（或图片）</w:t>
      </w:r>
      <w:r>
        <w:rPr>
          <w:rFonts w:hint="default" w:ascii="Times New Roman" w:hAnsi="Times New Roman" w:eastAsia="仿宋_GB2312" w:cs="Times New Roman"/>
          <w:sz w:val="32"/>
          <w:szCs w:val="32"/>
          <w:lang w:val="en-US" w:eastAsia="zh-CN"/>
        </w:rPr>
        <w:t>或复印件为准</w:t>
      </w:r>
      <w:r>
        <w:rPr>
          <w:rFonts w:hint="default" w:ascii="Times New Roman" w:hAnsi="Times New Roman" w:eastAsia="仿宋_GB2312" w:cs="Times New Roman"/>
          <w:sz w:val="32"/>
          <w:szCs w:val="32"/>
          <w:lang w:eastAsia="zh-CN"/>
        </w:rPr>
        <w:t>。</w:t>
      </w:r>
    </w:p>
    <w:p w14:paraId="15776AE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012384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zh-CN" w:eastAsia="zh-CN"/>
        </w:rPr>
        <w:t>）评审方法</w:t>
      </w:r>
    </w:p>
    <w:p w14:paraId="640F47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本项目采用综合评分法。总分为 100 分。</w:t>
      </w:r>
    </w:p>
    <w:p w14:paraId="582D079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076"/>
        <w:gridCol w:w="5052"/>
        <w:gridCol w:w="804"/>
      </w:tblGrid>
      <w:tr w14:paraId="5EF4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2D66DB82">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评分项目</w:t>
            </w:r>
          </w:p>
        </w:tc>
        <w:tc>
          <w:tcPr>
            <w:tcW w:w="1076" w:type="dxa"/>
            <w:noWrap w:val="0"/>
            <w:vAlign w:val="center"/>
          </w:tcPr>
          <w:p w14:paraId="0B6A4B63">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分值</w:t>
            </w:r>
          </w:p>
        </w:tc>
        <w:tc>
          <w:tcPr>
            <w:tcW w:w="5052" w:type="dxa"/>
            <w:noWrap w:val="0"/>
            <w:vAlign w:val="center"/>
          </w:tcPr>
          <w:p w14:paraId="5C102746">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评分标准</w:t>
            </w:r>
          </w:p>
        </w:tc>
        <w:tc>
          <w:tcPr>
            <w:tcW w:w="804" w:type="dxa"/>
            <w:noWrap w:val="0"/>
            <w:vAlign w:val="center"/>
          </w:tcPr>
          <w:p w14:paraId="562A3927">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得分</w:t>
            </w:r>
          </w:p>
        </w:tc>
      </w:tr>
      <w:tr w14:paraId="1450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1590" w:type="dxa"/>
            <w:noWrap w:val="0"/>
            <w:vAlign w:val="center"/>
          </w:tcPr>
          <w:p w14:paraId="74BA51B4">
            <w:pPr>
              <w:tabs>
                <w:tab w:val="left" w:pos="622"/>
              </w:tabs>
              <w:spacing w:line="440" w:lineRule="exact"/>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val="en-US" w:eastAsia="zh-CN"/>
              </w:rPr>
              <w:t>企业</w:t>
            </w:r>
            <w:r>
              <w:rPr>
                <w:rFonts w:hint="default" w:ascii="Times New Roman" w:hAnsi="Times New Roman" w:cs="Times New Roman"/>
                <w:b/>
                <w:sz w:val="28"/>
                <w:szCs w:val="28"/>
                <w:highlight w:val="none"/>
              </w:rPr>
              <w:t>报价</w:t>
            </w:r>
          </w:p>
        </w:tc>
        <w:tc>
          <w:tcPr>
            <w:tcW w:w="1076" w:type="dxa"/>
            <w:noWrap w:val="0"/>
            <w:vAlign w:val="center"/>
          </w:tcPr>
          <w:p w14:paraId="1EE53DEE">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30</w:t>
            </w:r>
            <w:r>
              <w:rPr>
                <w:rFonts w:hint="default" w:ascii="Times New Roman" w:hAnsi="Times New Roman" w:cs="Times New Roman"/>
                <w:sz w:val="28"/>
                <w:szCs w:val="28"/>
                <w:highlight w:val="none"/>
              </w:rPr>
              <w:t>分</w:t>
            </w:r>
          </w:p>
        </w:tc>
        <w:tc>
          <w:tcPr>
            <w:tcW w:w="5052" w:type="dxa"/>
            <w:noWrap w:val="0"/>
            <w:vAlign w:val="center"/>
          </w:tcPr>
          <w:p w14:paraId="2189C761">
            <w:pPr>
              <w:keepNext w:val="0"/>
              <w:keepLines w:val="0"/>
              <w:pageBreakBefore w:val="0"/>
              <w:widowControl/>
              <w:kinsoku/>
              <w:wordWrap/>
              <w:overflowPunct/>
              <w:topLinePunct w:val="0"/>
              <w:autoSpaceDE/>
              <w:autoSpaceDN/>
              <w:bidi w:val="0"/>
              <w:spacing w:line="580" w:lineRule="exact"/>
              <w:jc w:val="left"/>
              <w:textAlignment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rPr>
              <w:t>收费超过</w:t>
            </w:r>
            <w:r>
              <w:rPr>
                <w:rFonts w:hint="default" w:ascii="Times New Roman" w:hAnsi="Times New Roman" w:eastAsia="仿宋_GB2312" w:cs="Times New Roman"/>
                <w:sz w:val="32"/>
                <w:szCs w:val="32"/>
                <w:highlight w:val="none"/>
                <w:lang w:val="en-US" w:eastAsia="zh-CN"/>
              </w:rPr>
              <w:t>控制价的</w:t>
            </w:r>
            <w:r>
              <w:rPr>
                <w:rFonts w:hint="default" w:ascii="Times New Roman" w:hAnsi="Times New Roman" w:eastAsia="仿宋_GB2312" w:cs="Times New Roman"/>
                <w:sz w:val="32"/>
                <w:szCs w:val="32"/>
                <w:highlight w:val="none"/>
                <w:lang w:val="zh-CN"/>
              </w:rPr>
              <w:t>为无效报价；</w:t>
            </w:r>
          </w:p>
          <w:p w14:paraId="211651A2">
            <w:pPr>
              <w:keepNext w:val="0"/>
              <w:keepLines w:val="0"/>
              <w:pageBreakBefore w:val="0"/>
              <w:widowControl/>
              <w:kinsoku/>
              <w:wordWrap/>
              <w:overflowPunct/>
              <w:topLinePunct w:val="0"/>
              <w:autoSpaceDE/>
              <w:autoSpaceDN/>
              <w:bidi w:val="0"/>
              <w:spacing w:line="580" w:lineRule="exact"/>
              <w:jc w:val="left"/>
              <w:textAlignment w:val="center"/>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zh-CN"/>
              </w:rPr>
              <w:t>所有参与的</w:t>
            </w:r>
            <w:r>
              <w:rPr>
                <w:rFonts w:hint="default" w:ascii="Times New Roman" w:hAnsi="Times New Roman" w:eastAsia="仿宋_GB2312" w:cs="Times New Roman"/>
                <w:sz w:val="32"/>
                <w:szCs w:val="32"/>
                <w:highlight w:val="none"/>
                <w:lang w:val="zh-CN" w:eastAsia="zh-CN"/>
              </w:rPr>
              <w:t>比选</w:t>
            </w:r>
            <w:r>
              <w:rPr>
                <w:rFonts w:hint="default" w:ascii="Times New Roman" w:hAnsi="Times New Roman" w:eastAsia="仿宋_GB2312" w:cs="Times New Roman"/>
                <w:sz w:val="32"/>
                <w:szCs w:val="32"/>
                <w:highlight w:val="none"/>
                <w:lang w:val="zh-CN"/>
              </w:rPr>
              <w:t>申请人</w:t>
            </w:r>
            <w:r>
              <w:rPr>
                <w:rFonts w:hint="default" w:ascii="Times New Roman" w:hAnsi="Times New Roman" w:eastAsia="仿宋_GB2312" w:cs="Times New Roman"/>
                <w:sz w:val="32"/>
                <w:szCs w:val="32"/>
                <w:highlight w:val="none"/>
                <w:lang w:val="zh-CN"/>
              </w:rPr>
              <w:t>下浮率</w:t>
            </w:r>
            <w:r>
              <w:rPr>
                <w:rFonts w:hint="default" w:ascii="Times New Roman" w:hAnsi="Times New Roman" w:eastAsia="仿宋_GB2312" w:cs="Times New Roman"/>
                <w:sz w:val="32"/>
                <w:szCs w:val="32"/>
                <w:highlight w:val="none"/>
                <w:lang w:val="zh-CN"/>
              </w:rPr>
              <w:t>最</w:t>
            </w:r>
            <w:r>
              <w:rPr>
                <w:rFonts w:hint="default" w:ascii="Times New Roman" w:hAnsi="Times New Roman" w:eastAsia="仿宋_GB2312" w:cs="Times New Roman"/>
                <w:sz w:val="32"/>
                <w:szCs w:val="32"/>
                <w:highlight w:val="none"/>
                <w:lang w:val="zh-CN"/>
              </w:rPr>
              <w:t>高</w:t>
            </w:r>
            <w:r>
              <w:rPr>
                <w:rFonts w:hint="default" w:ascii="Times New Roman" w:hAnsi="Times New Roman" w:eastAsia="仿宋_GB2312" w:cs="Times New Roman"/>
                <w:sz w:val="32"/>
                <w:szCs w:val="32"/>
                <w:highlight w:val="none"/>
                <w:lang w:val="zh-CN"/>
              </w:rPr>
              <w:t>的有效报价为基准报价；</w:t>
            </w:r>
          </w:p>
          <w:p w14:paraId="6B3A6070">
            <w:pPr>
              <w:jc w:val="left"/>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zh-CN"/>
              </w:rPr>
              <w:t>报价得分</w:t>
            </w:r>
            <w:r>
              <w:rPr>
                <w:rFonts w:hint="default" w:ascii="Times New Roman" w:hAnsi="Times New Roman" w:cs="Times New Roman" w:eastAsiaTheme="minorEastAsia"/>
                <w:position w:val="-26"/>
                <w:lang w:eastAsia="zh-CN"/>
              </w:rPr>
              <w:object>
                <v:shape id="_x0000_i1025" o:spt="75" type="#_x0000_t75" style="height:36pt;width:229.95pt;" o:ole="t" filled="f" o:preferrelative="t" stroked="f" coordsize="21600,21600">
                  <v:path/>
                  <v:fill on="f" focussize="0,0"/>
                  <v:stroke on="f"/>
                  <v:imagedata r:id="rId8" o:title=""/>
                  <o:lock v:ext="edit" aspectratio="t"/>
                  <w10:wrap type="none"/>
                  <w10:anchorlock/>
                </v:shape>
                <o:OLEObject Type="Embed" ProgID="Equation.KSEE3" ShapeID="_x0000_i1025" DrawAspect="Content" ObjectID="_1468075725" r:id="rId7">
                  <o:LockedField>false</o:LockedField>
                </o:OLEObject>
              </w:object>
            </w:r>
          </w:p>
        </w:tc>
        <w:tc>
          <w:tcPr>
            <w:tcW w:w="804" w:type="dxa"/>
            <w:noWrap w:val="0"/>
            <w:vAlign w:val="center"/>
          </w:tcPr>
          <w:p w14:paraId="2F4A392C">
            <w:pPr>
              <w:tabs>
                <w:tab w:val="left" w:pos="622"/>
              </w:tabs>
              <w:jc w:val="center"/>
              <w:rPr>
                <w:rFonts w:hint="default" w:ascii="Times New Roman" w:hAnsi="Times New Roman" w:cs="Times New Roman"/>
                <w:sz w:val="24"/>
                <w:highlight w:val="none"/>
              </w:rPr>
            </w:pPr>
          </w:p>
        </w:tc>
      </w:tr>
      <w:tr w14:paraId="6792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74DC7BC9">
            <w:pPr>
              <w:tabs>
                <w:tab w:val="left" w:pos="622"/>
              </w:tabs>
              <w:spacing w:line="440" w:lineRule="exact"/>
              <w:jc w:val="center"/>
              <w:rPr>
                <w:rFonts w:hint="default" w:ascii="Times New Roman" w:hAnsi="Times New Roman" w:cs="Times New Roman"/>
                <w:b/>
                <w:color w:val="000000"/>
                <w:kern w:val="0"/>
                <w:sz w:val="28"/>
                <w:szCs w:val="28"/>
                <w:highlight w:val="none"/>
                <w:lang w:bidi="ar"/>
              </w:rPr>
            </w:pPr>
            <w:r>
              <w:rPr>
                <w:rFonts w:hint="default" w:ascii="Times New Roman" w:hAnsi="Times New Roman" w:cs="Times New Roman"/>
                <w:b/>
                <w:color w:val="000000"/>
                <w:kern w:val="0"/>
                <w:sz w:val="28"/>
                <w:szCs w:val="28"/>
                <w:highlight w:val="none"/>
                <w:lang w:bidi="ar"/>
              </w:rPr>
              <w:t>服务方案</w:t>
            </w:r>
          </w:p>
        </w:tc>
        <w:tc>
          <w:tcPr>
            <w:tcW w:w="1076" w:type="dxa"/>
            <w:noWrap w:val="0"/>
            <w:vAlign w:val="center"/>
          </w:tcPr>
          <w:p w14:paraId="75A61B7A">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30</w:t>
            </w:r>
            <w:r>
              <w:rPr>
                <w:rFonts w:hint="default" w:ascii="Times New Roman" w:hAnsi="Times New Roman" w:cs="Times New Roman"/>
                <w:sz w:val="28"/>
                <w:szCs w:val="28"/>
                <w:highlight w:val="none"/>
              </w:rPr>
              <w:t>分</w:t>
            </w:r>
          </w:p>
        </w:tc>
        <w:tc>
          <w:tcPr>
            <w:tcW w:w="5052" w:type="dxa"/>
            <w:noWrap w:val="0"/>
            <w:vAlign w:val="center"/>
          </w:tcPr>
          <w:p w14:paraId="7A377C32">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1.阐述招标代理各阶段的工作内容、工作重点、工作方法和工作流程（优秀的得6</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分，良好的得1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5分）</w:t>
            </w:r>
          </w:p>
          <w:p w14:paraId="5A263E74">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2.阐述招投标过程中的风险防控及相应预案（优秀的得6</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分，良好的得1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5分）</w:t>
            </w:r>
          </w:p>
          <w:p w14:paraId="0692B996">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3.保密措施及档案管理制度（优秀的得</w:t>
            </w:r>
            <w:r>
              <w:rPr>
                <w:rFonts w:hint="default"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lang w:val="en-US" w:eastAsia="zh-CN"/>
              </w:rPr>
              <w:t>分，良好的得1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分）</w:t>
            </w:r>
          </w:p>
          <w:p w14:paraId="68F1B358">
            <w:pPr>
              <w:widowControl/>
              <w:numPr>
                <w:ilvl w:val="0"/>
                <w:numId w:val="0"/>
              </w:numPr>
              <w:adjustRightInd w:val="0"/>
              <w:snapToGrid w:val="0"/>
              <w:spacing w:line="276" w:lineRule="auto"/>
              <w:ind w:leftChars="0"/>
              <w:jc w:val="both"/>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sz w:val="32"/>
                <w:szCs w:val="32"/>
                <w:lang w:val="en-US" w:eastAsia="zh-CN"/>
              </w:rPr>
              <w:t>4.服务承诺（优秀的得</w:t>
            </w:r>
            <w:r>
              <w:rPr>
                <w:rFonts w:hint="default"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lang w:val="en-US" w:eastAsia="zh-CN"/>
              </w:rPr>
              <w:t>分，良好的得1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分）</w:t>
            </w:r>
          </w:p>
        </w:tc>
        <w:tc>
          <w:tcPr>
            <w:tcW w:w="804" w:type="dxa"/>
            <w:noWrap w:val="0"/>
            <w:vAlign w:val="center"/>
          </w:tcPr>
          <w:p w14:paraId="7ACC74B7">
            <w:pPr>
              <w:tabs>
                <w:tab w:val="left" w:pos="622"/>
              </w:tabs>
              <w:jc w:val="center"/>
              <w:rPr>
                <w:rFonts w:hint="default" w:ascii="Times New Roman" w:hAnsi="Times New Roman" w:cs="Times New Roman"/>
                <w:sz w:val="24"/>
                <w:highlight w:val="none"/>
              </w:rPr>
            </w:pPr>
          </w:p>
        </w:tc>
      </w:tr>
      <w:tr w14:paraId="7433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6C369CD5">
            <w:pPr>
              <w:tabs>
                <w:tab w:val="left" w:pos="622"/>
              </w:tabs>
              <w:spacing w:line="440" w:lineRule="exact"/>
              <w:jc w:val="center"/>
              <w:rPr>
                <w:rFonts w:hint="default" w:ascii="Times New Roman" w:hAnsi="Times New Roman" w:cs="Times New Roman"/>
                <w:b/>
                <w:color w:val="000000"/>
                <w:kern w:val="0"/>
                <w:sz w:val="28"/>
                <w:szCs w:val="28"/>
                <w:highlight w:val="none"/>
                <w:lang w:bidi="ar"/>
              </w:rPr>
            </w:pPr>
            <w:r>
              <w:rPr>
                <w:rFonts w:hint="default" w:ascii="Times New Roman" w:hAnsi="Times New Roman" w:cs="Times New Roman"/>
                <w:b/>
                <w:color w:val="000000"/>
                <w:kern w:val="0"/>
                <w:sz w:val="28"/>
                <w:szCs w:val="28"/>
                <w:highlight w:val="none"/>
                <w:lang w:eastAsia="zh-CN" w:bidi="ar"/>
              </w:rPr>
              <w:t>金融类业务招标服务业绩</w:t>
            </w:r>
          </w:p>
        </w:tc>
        <w:tc>
          <w:tcPr>
            <w:tcW w:w="1076" w:type="dxa"/>
            <w:noWrap w:val="0"/>
            <w:vAlign w:val="center"/>
          </w:tcPr>
          <w:p w14:paraId="3CD15125">
            <w:pPr>
              <w:tabs>
                <w:tab w:val="left" w:pos="622"/>
              </w:tabs>
              <w:spacing w:line="440" w:lineRule="exact"/>
              <w:jc w:val="center"/>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20分</w:t>
            </w:r>
          </w:p>
        </w:tc>
        <w:tc>
          <w:tcPr>
            <w:tcW w:w="5052" w:type="dxa"/>
            <w:noWrap w:val="0"/>
            <w:vAlign w:val="center"/>
          </w:tcPr>
          <w:p w14:paraId="4B4F9303">
            <w:pPr>
              <w:tabs>
                <w:tab w:val="left" w:pos="622"/>
              </w:tabs>
              <w:spacing w:line="440" w:lineRule="exact"/>
              <w:jc w:val="left"/>
              <w:rPr>
                <w:rFonts w:hint="default" w:ascii="Times New Roman" w:hAnsi="Times New Roman" w:cs="Times New Roman"/>
                <w:sz w:val="28"/>
                <w:szCs w:val="28"/>
                <w:highlight w:val="none"/>
                <w:lang w:eastAsia="zh-CN"/>
              </w:rPr>
            </w:pPr>
            <w:r>
              <w:rPr>
                <w:rFonts w:hint="default" w:ascii="Times New Roman" w:hAnsi="Times New Roman" w:eastAsia="仿宋_GB2312" w:cs="Times New Roman"/>
                <w:sz w:val="32"/>
                <w:szCs w:val="32"/>
                <w:lang w:val="en-US" w:eastAsia="zh-CN"/>
              </w:rPr>
              <w:t>近3年承接过</w:t>
            </w:r>
            <w:r>
              <w:rPr>
                <w:rFonts w:hint="default" w:ascii="Times New Roman" w:hAnsi="Times New Roman" w:eastAsia="仿宋_GB2312" w:cs="Times New Roman"/>
                <w:sz w:val="32"/>
                <w:szCs w:val="32"/>
                <w:lang w:val="en-US" w:eastAsia="zh-CN"/>
              </w:rPr>
              <w:t>金融类</w:t>
            </w:r>
            <w:r>
              <w:rPr>
                <w:rFonts w:hint="default" w:ascii="Times New Roman" w:hAnsi="Times New Roman" w:eastAsia="仿宋_GB2312" w:cs="Times New Roman"/>
                <w:sz w:val="32"/>
                <w:szCs w:val="32"/>
                <w:lang w:val="en-US" w:eastAsia="zh-CN"/>
              </w:rPr>
              <w:t>类招标代理服务的，每项得5分，本项最高得20分。</w:t>
            </w:r>
            <w:r>
              <w:rPr>
                <w:rFonts w:hint="default" w:ascii="Times New Roman" w:hAnsi="Times New Roman" w:eastAsia="仿宋_GB2312" w:cs="Times New Roman"/>
                <w:sz w:val="32"/>
                <w:szCs w:val="32"/>
                <w:lang w:val="en-US" w:eastAsia="zh-CN"/>
              </w:rPr>
              <w:t>（须提供招标代理服务合同）</w:t>
            </w:r>
          </w:p>
        </w:tc>
        <w:tc>
          <w:tcPr>
            <w:tcW w:w="804" w:type="dxa"/>
            <w:noWrap w:val="0"/>
            <w:vAlign w:val="center"/>
          </w:tcPr>
          <w:p w14:paraId="0717A73F">
            <w:pPr>
              <w:tabs>
                <w:tab w:val="left" w:pos="622"/>
              </w:tabs>
              <w:jc w:val="center"/>
              <w:rPr>
                <w:rFonts w:hint="default" w:ascii="Times New Roman" w:hAnsi="Times New Roman" w:cs="Times New Roman"/>
                <w:sz w:val="24"/>
                <w:highlight w:val="none"/>
              </w:rPr>
            </w:pPr>
          </w:p>
        </w:tc>
      </w:tr>
      <w:tr w14:paraId="4627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27EF756D">
            <w:pPr>
              <w:tabs>
                <w:tab w:val="left" w:pos="622"/>
              </w:tabs>
              <w:spacing w:line="440" w:lineRule="exact"/>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val="en-US" w:eastAsia="zh-CN"/>
              </w:rPr>
              <w:t>招标代理服务团队人员</w:t>
            </w:r>
          </w:p>
        </w:tc>
        <w:tc>
          <w:tcPr>
            <w:tcW w:w="1076" w:type="dxa"/>
            <w:noWrap w:val="0"/>
            <w:vAlign w:val="center"/>
          </w:tcPr>
          <w:p w14:paraId="1F4F2D19">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20</w:t>
            </w:r>
            <w:r>
              <w:rPr>
                <w:rFonts w:hint="default" w:ascii="Times New Roman" w:hAnsi="Times New Roman" w:cs="Times New Roman"/>
                <w:sz w:val="28"/>
                <w:szCs w:val="28"/>
                <w:highlight w:val="none"/>
              </w:rPr>
              <w:t>分</w:t>
            </w:r>
          </w:p>
        </w:tc>
        <w:tc>
          <w:tcPr>
            <w:tcW w:w="5052" w:type="dxa"/>
            <w:noWrap w:val="0"/>
            <w:vAlign w:val="center"/>
          </w:tcPr>
          <w:p w14:paraId="66D940BA">
            <w:pPr>
              <w:pageBreakBefore w:val="0"/>
              <w:widowControl/>
              <w:kinsoku/>
              <w:wordWrap/>
              <w:overflowPunct/>
              <w:topLinePunct w:val="0"/>
              <w:bidi w:val="0"/>
              <w:adjustRightInd w:val="0"/>
              <w:snapToGrid w:val="0"/>
              <w:spacing w:line="540" w:lineRule="exact"/>
              <w:ind w:left="0" w:leftChars="0" w:right="0" w:righ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项目组人员</w:t>
            </w:r>
            <w:r>
              <w:rPr>
                <w:rFonts w:hint="default" w:ascii="Times New Roman" w:hAnsi="Times New Roman" w:eastAsia="仿宋_GB2312" w:cs="Times New Roman"/>
                <w:sz w:val="32"/>
                <w:szCs w:val="32"/>
                <w:lang w:val="zh-CN"/>
              </w:rPr>
              <w:t>具有</w:t>
            </w:r>
            <w:r>
              <w:rPr>
                <w:rFonts w:hint="default" w:ascii="Times New Roman" w:hAnsi="Times New Roman" w:eastAsia="仿宋_GB2312" w:cs="Times New Roman"/>
                <w:sz w:val="32"/>
                <w:szCs w:val="32"/>
                <w:lang w:val="zh-CN"/>
              </w:rPr>
              <w:t>经济类</w:t>
            </w:r>
            <w:r>
              <w:rPr>
                <w:rFonts w:hint="default" w:ascii="Times New Roman" w:hAnsi="Times New Roman" w:eastAsia="仿宋_GB2312" w:cs="Times New Roman"/>
                <w:sz w:val="32"/>
                <w:szCs w:val="32"/>
                <w:lang w:val="zh-CN"/>
              </w:rPr>
              <w:t>中级（</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default" w:ascii="Times New Roman" w:hAnsi="Times New Roman" w:eastAsia="仿宋_GB2312" w:cs="Times New Roman"/>
                <w:sz w:val="32"/>
                <w:szCs w:val="32"/>
                <w:lang w:val="en-US" w:eastAsia="zh-CN"/>
              </w:rPr>
              <w:t>本项最高得20分。</w:t>
            </w:r>
          </w:p>
          <w:p w14:paraId="3D6FF34F">
            <w:pPr>
              <w:tabs>
                <w:tab w:val="left" w:pos="622"/>
              </w:tabs>
              <w:spacing w:line="440" w:lineRule="exact"/>
              <w:jc w:val="left"/>
              <w:rPr>
                <w:rFonts w:hint="default" w:ascii="Times New Roman" w:hAnsi="Times New Roman" w:eastAsia="宋体" w:cs="Times New Roman"/>
                <w:sz w:val="28"/>
                <w:szCs w:val="28"/>
                <w:highlight w:val="none"/>
                <w:lang w:val="en-US" w:eastAsia="zh-CN"/>
              </w:rPr>
            </w:pPr>
            <w:r>
              <w:rPr>
                <w:rFonts w:hint="default" w:ascii="Times New Roman" w:hAnsi="Times New Roman" w:eastAsia="仿宋_GB2312" w:cs="Times New Roman"/>
                <w:sz w:val="32"/>
                <w:szCs w:val="32"/>
                <w:lang w:val="en-US" w:eastAsia="zh-CN"/>
              </w:rPr>
              <w:t>（需提劳动合同等证明材料及证书复印件）</w:t>
            </w:r>
          </w:p>
        </w:tc>
        <w:tc>
          <w:tcPr>
            <w:tcW w:w="804" w:type="dxa"/>
            <w:noWrap w:val="0"/>
            <w:vAlign w:val="center"/>
          </w:tcPr>
          <w:p w14:paraId="7C060DDB">
            <w:pPr>
              <w:tabs>
                <w:tab w:val="left" w:pos="622"/>
              </w:tabs>
              <w:jc w:val="center"/>
              <w:rPr>
                <w:rFonts w:hint="default" w:ascii="Times New Roman" w:hAnsi="Times New Roman" w:cs="Times New Roman"/>
                <w:sz w:val="24"/>
                <w:highlight w:val="none"/>
              </w:rPr>
            </w:pPr>
          </w:p>
        </w:tc>
      </w:tr>
      <w:tr w14:paraId="6012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1D26B62A">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合计</w:t>
            </w:r>
          </w:p>
        </w:tc>
        <w:tc>
          <w:tcPr>
            <w:tcW w:w="1076" w:type="dxa"/>
            <w:noWrap w:val="0"/>
            <w:vAlign w:val="center"/>
          </w:tcPr>
          <w:p w14:paraId="66CE2B5B">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100分</w:t>
            </w:r>
          </w:p>
        </w:tc>
        <w:tc>
          <w:tcPr>
            <w:tcW w:w="5052" w:type="dxa"/>
            <w:noWrap w:val="0"/>
            <w:vAlign w:val="center"/>
          </w:tcPr>
          <w:p w14:paraId="0558A79F">
            <w:pPr>
              <w:tabs>
                <w:tab w:val="left" w:pos="622"/>
              </w:tabs>
              <w:jc w:val="center"/>
              <w:rPr>
                <w:rFonts w:hint="default" w:ascii="Times New Roman" w:hAnsi="Times New Roman" w:cs="Times New Roman"/>
                <w:sz w:val="24"/>
              </w:rPr>
            </w:pPr>
          </w:p>
        </w:tc>
        <w:tc>
          <w:tcPr>
            <w:tcW w:w="804" w:type="dxa"/>
            <w:noWrap w:val="0"/>
            <w:vAlign w:val="center"/>
          </w:tcPr>
          <w:p w14:paraId="5BF19A07">
            <w:pPr>
              <w:tabs>
                <w:tab w:val="left" w:pos="622"/>
              </w:tabs>
              <w:jc w:val="center"/>
              <w:rPr>
                <w:rFonts w:hint="default" w:ascii="Times New Roman" w:hAnsi="Times New Roman" w:cs="Times New Roman"/>
                <w:sz w:val="24"/>
              </w:rPr>
            </w:pPr>
          </w:p>
        </w:tc>
      </w:tr>
    </w:tbl>
    <w:p w14:paraId="75F9A8BD">
      <w:pPr>
        <w:snapToGrid w:val="0"/>
        <w:spacing w:line="336" w:lineRule="auto"/>
        <w:ind w:firstLine="643" w:firstLineChars="200"/>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color w:val="auto"/>
          <w:sz w:val="32"/>
          <w:szCs w:val="32"/>
        </w:rPr>
        <w:t>控制价：</w:t>
      </w:r>
      <w:r>
        <w:rPr>
          <w:rFonts w:hint="default" w:ascii="Times New Roman" w:hAnsi="Times New Roman" w:eastAsia="仿宋_GB2312" w:cs="Times New Roman"/>
          <w:b/>
          <w:bCs/>
          <w:color w:val="auto"/>
          <w:sz w:val="32"/>
          <w:szCs w:val="32"/>
          <w:lang w:val="en-US" w:eastAsia="zh-CN"/>
        </w:rPr>
        <w:t>投标下浮率≥20%</w:t>
      </w:r>
      <w:r>
        <w:rPr>
          <w:rFonts w:hint="default" w:ascii="Times New Roman" w:hAnsi="Times New Roman" w:eastAsia="仿宋_GB2312" w:cs="Times New Roman"/>
          <w:b/>
          <w:bCs/>
          <w:color w:val="auto"/>
          <w:sz w:val="32"/>
          <w:szCs w:val="32"/>
        </w:rPr>
        <w:t>。</w:t>
      </w:r>
    </w:p>
    <w:p w14:paraId="2C17CD8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）评标结果汇总完成后，除下列情形外，任何人不得修改评标结果：</w:t>
      </w:r>
    </w:p>
    <w:p w14:paraId="45D766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）分值汇总计算错误的；</w:t>
      </w:r>
    </w:p>
    <w:p w14:paraId="4EFFE1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）分项评分超出评分标准范围的。</w:t>
      </w:r>
    </w:p>
    <w:p w14:paraId="1483CC2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（四）推荐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752D1F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评审小组应当根据综合评分情况，按照评审得分由高到低顺序推荐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名中标候选人，并编写比选报告。评审得分相同的，由评审小组磋商确定中标候选人。</w:t>
      </w:r>
    </w:p>
    <w:p w14:paraId="03D222F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）评审小组争议处理</w:t>
      </w:r>
    </w:p>
    <w:p w14:paraId="582E17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zh-CN" w:eastAsia="zh-CN"/>
        </w:rPr>
        <w:t>程序继续进行。对比选报告有异议的评审小组成员，应当在报告上签署不同意见并说明理由。</w:t>
      </w:r>
    </w:p>
    <w:p w14:paraId="7E026A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评审小组成员拒绝在报告上签字又不书面说明其不同意见和理由的，视为同意比选报告。</w:t>
      </w:r>
    </w:p>
    <w:p w14:paraId="3063973E">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5832419C">
      <w:pPr>
        <w:pStyle w:val="17"/>
        <w:rPr>
          <w:rFonts w:hint="default" w:ascii="Times New Roman" w:hAnsi="Times New Roman" w:eastAsia="仿宋" w:cs="Times New Roman"/>
          <w:b/>
          <w:bCs/>
          <w:color w:val="auto"/>
          <w:sz w:val="40"/>
          <w:szCs w:val="40"/>
          <w:shd w:val="clear" w:color="050000" w:fill="auto"/>
        </w:rPr>
      </w:pPr>
    </w:p>
    <w:p w14:paraId="4AB54474">
      <w:pPr>
        <w:spacing w:line="360" w:lineRule="auto"/>
        <w:jc w:val="center"/>
        <w:rPr>
          <w:rFonts w:hint="default" w:ascii="Times New Roman" w:hAnsi="Times New Roman" w:eastAsia="仿宋" w:cs="Times New Roman"/>
          <w:b/>
          <w:color w:val="auto"/>
          <w:sz w:val="40"/>
          <w:szCs w:val="40"/>
          <w:shd w:val="clear" w:color="060000" w:fill="auto"/>
        </w:rPr>
      </w:pPr>
    </w:p>
    <w:p w14:paraId="22A2A06F">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5247E424">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2BA9C6B7">
      <w:pPr>
        <w:pStyle w:val="52"/>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86274126"/>
      <w:bookmarkStart w:id="7" w:name="_Toc174185203"/>
      <w:bookmarkStart w:id="8" w:name="_Toc184023138"/>
    </w:p>
    <w:p w14:paraId="79F97EE4">
      <w:pPr>
        <w:pStyle w:val="52"/>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6BF6C2BF">
      <w:pPr>
        <w:pStyle w:val="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val="en-US" w:eastAsia="zh-CN"/>
        </w:rPr>
        <w:t>2025年度非公开发行专项品种公司债券主承销商招标代理机构</w:t>
      </w:r>
    </w:p>
    <w:p w14:paraId="145F79ED">
      <w:pPr>
        <w:jc w:val="center"/>
        <w:rPr>
          <w:rFonts w:hint="default" w:ascii="Times New Roman" w:hAnsi="Times New Roman" w:eastAsia="仿宋" w:cs="Times New Roman"/>
          <w:b/>
          <w:color w:val="auto"/>
          <w:spacing w:val="60"/>
          <w:sz w:val="28"/>
          <w:szCs w:val="28"/>
          <w:shd w:val="clear" w:color="060000" w:fill="auto"/>
        </w:rPr>
      </w:pPr>
    </w:p>
    <w:p w14:paraId="3900E3C9">
      <w:pPr>
        <w:jc w:val="both"/>
        <w:rPr>
          <w:rFonts w:hint="default" w:ascii="Times New Roman" w:hAnsi="Times New Roman" w:eastAsia="仿宋" w:cs="Times New Roman"/>
          <w:color w:val="auto"/>
          <w:sz w:val="28"/>
          <w:szCs w:val="28"/>
          <w:shd w:val="clear" w:color="050000" w:fill="auto"/>
        </w:rPr>
      </w:pPr>
    </w:p>
    <w:p w14:paraId="6AED0F18">
      <w:pPr>
        <w:jc w:val="center"/>
        <w:rPr>
          <w:rFonts w:hint="default" w:ascii="Times New Roman" w:hAnsi="Times New Roman" w:eastAsia="仿宋" w:cs="Times New Roman"/>
          <w:color w:val="auto"/>
          <w:sz w:val="28"/>
          <w:szCs w:val="28"/>
          <w:shd w:val="clear" w:color="050000" w:fill="auto"/>
        </w:rPr>
      </w:pPr>
    </w:p>
    <w:p w14:paraId="7EAC9D44">
      <w:pPr>
        <w:rPr>
          <w:rFonts w:hint="default" w:ascii="Times New Roman" w:hAnsi="Times New Roman" w:eastAsia="仿宋" w:cs="Times New Roman"/>
          <w:color w:val="auto"/>
          <w:sz w:val="28"/>
          <w:szCs w:val="28"/>
          <w:shd w:val="clear" w:color="050000" w:fill="auto"/>
        </w:rPr>
      </w:pPr>
    </w:p>
    <w:p w14:paraId="069A2117">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比 选 申 请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65A182F7">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rPr>
      </w:pPr>
    </w:p>
    <w:p w14:paraId="1E9EE829">
      <w:pPr>
        <w:jc w:val="center"/>
        <w:rPr>
          <w:rFonts w:hint="default" w:ascii="Times New Roman" w:hAnsi="Times New Roman" w:eastAsia="仿宋" w:cs="Times New Roman"/>
          <w:b/>
          <w:color w:val="auto"/>
          <w:spacing w:val="60"/>
          <w:sz w:val="28"/>
          <w:szCs w:val="28"/>
          <w:shd w:val="clear" w:color="060000" w:fill="auto"/>
          <w:lang w:eastAsia="zh-CN"/>
        </w:rPr>
      </w:pPr>
      <w:r>
        <w:rPr>
          <w:rFonts w:hint="default" w:ascii="Times New Roman" w:hAnsi="Times New Roman" w:eastAsia="仿宋" w:cs="Times New Roman"/>
          <w:b/>
          <w:color w:val="auto"/>
          <w:spacing w:val="60"/>
          <w:sz w:val="28"/>
          <w:szCs w:val="28"/>
          <w:shd w:val="clear" w:color="060000" w:fill="auto"/>
          <w:lang w:eastAsia="zh-CN"/>
        </w:rPr>
        <w:t>（</w:t>
      </w:r>
      <w:r>
        <w:rPr>
          <w:rFonts w:hint="default" w:ascii="Times New Roman" w:hAnsi="Times New Roman" w:eastAsia="仿宋" w:cs="Times New Roman"/>
          <w:b/>
          <w:color w:val="auto"/>
          <w:spacing w:val="60"/>
          <w:sz w:val="28"/>
          <w:szCs w:val="28"/>
          <w:shd w:val="clear" w:color="060000" w:fill="auto"/>
          <w:lang w:val="en-US" w:eastAsia="zh-CN"/>
        </w:rPr>
        <w:t>项目编号：RZB-2025001号</w:t>
      </w:r>
      <w:r>
        <w:rPr>
          <w:rFonts w:hint="default" w:ascii="Times New Roman" w:hAnsi="Times New Roman" w:eastAsia="仿宋" w:cs="Times New Roman"/>
          <w:b/>
          <w:color w:val="auto"/>
          <w:spacing w:val="60"/>
          <w:sz w:val="28"/>
          <w:szCs w:val="28"/>
          <w:shd w:val="clear" w:color="060000" w:fill="auto"/>
          <w:lang w:eastAsia="zh-CN"/>
        </w:rPr>
        <w:t>）</w:t>
      </w:r>
    </w:p>
    <w:p w14:paraId="51495DA0">
      <w:pPr>
        <w:jc w:val="center"/>
        <w:rPr>
          <w:rFonts w:hint="default" w:ascii="Times New Roman" w:hAnsi="Times New Roman" w:eastAsia="仿宋" w:cs="Times New Roman"/>
          <w:color w:val="auto"/>
          <w:sz w:val="28"/>
          <w:szCs w:val="28"/>
          <w:shd w:val="clear" w:color="050000" w:fill="auto"/>
        </w:rPr>
      </w:pPr>
    </w:p>
    <w:p w14:paraId="0DB9B986">
      <w:pPr>
        <w:jc w:val="center"/>
        <w:rPr>
          <w:rFonts w:hint="default" w:ascii="Times New Roman" w:hAnsi="Times New Roman" w:eastAsia="仿宋" w:cs="Times New Roman"/>
          <w:color w:val="auto"/>
          <w:sz w:val="28"/>
          <w:szCs w:val="28"/>
          <w:shd w:val="clear" w:color="050000" w:fill="auto"/>
        </w:rPr>
      </w:pPr>
    </w:p>
    <w:p w14:paraId="7C1B9D84">
      <w:pPr>
        <w:pStyle w:val="3"/>
        <w:numPr>
          <w:ilvl w:val="1"/>
          <w:numId w:val="0"/>
        </w:numPr>
        <w:rPr>
          <w:rFonts w:hint="default" w:ascii="Times New Roman" w:hAnsi="Times New Roman" w:cs="Times New Roman"/>
        </w:rPr>
      </w:pPr>
    </w:p>
    <w:p w14:paraId="3F83F8EE">
      <w:pPr>
        <w:rPr>
          <w:rFonts w:hint="default" w:ascii="Times New Roman" w:hAnsi="Times New Roman" w:eastAsia="仿宋" w:cs="Times New Roman"/>
          <w:color w:val="auto"/>
          <w:sz w:val="28"/>
          <w:szCs w:val="28"/>
          <w:shd w:val="clear" w:color="050000" w:fill="auto"/>
        </w:rPr>
      </w:pPr>
    </w:p>
    <w:p w14:paraId="7B9645B9">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31473522">
      <w:pPr>
        <w:pStyle w:val="3"/>
        <w:numPr>
          <w:ilvl w:val="1"/>
          <w:numId w:val="0"/>
        </w:numPr>
        <w:rPr>
          <w:rFonts w:hint="default" w:ascii="Times New Roman" w:hAnsi="Times New Roman" w:eastAsia="仿宋" w:cs="Times New Roman"/>
          <w:sz w:val="32"/>
          <w:szCs w:val="32"/>
        </w:rPr>
      </w:pPr>
    </w:p>
    <w:p w14:paraId="1DAD0039">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218E2D40">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18A48CFE">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435E0F1F">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58728DB2">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3ED0B450">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3A7D2A47">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7C56C7E3">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73CAF2F9">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4B4F07B6">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53DC97B2">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352CEEAD">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72070A38">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3D7EB922">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6B258B7D">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012808DC">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5AD13F57">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4423"/>
        <w:gridCol w:w="1591"/>
        <w:gridCol w:w="1561"/>
        <w:gridCol w:w="1023"/>
      </w:tblGrid>
      <w:tr w14:paraId="0AB51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58" w:type="dxa"/>
            <w:vAlign w:val="center"/>
          </w:tcPr>
          <w:p w14:paraId="4DFF9648">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423" w:type="dxa"/>
            <w:vAlign w:val="center"/>
          </w:tcPr>
          <w:p w14:paraId="67B4025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91" w:type="dxa"/>
            <w:vAlign w:val="center"/>
          </w:tcPr>
          <w:p w14:paraId="6232D825">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561" w:type="dxa"/>
            <w:vAlign w:val="center"/>
          </w:tcPr>
          <w:p w14:paraId="275CE24F">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023" w:type="dxa"/>
            <w:vAlign w:val="center"/>
          </w:tcPr>
          <w:p w14:paraId="36EE296A">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3B948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0DDF2604">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423" w:type="dxa"/>
            <w:vAlign w:val="center"/>
          </w:tcPr>
          <w:p w14:paraId="7B020B8F">
            <w:pPr>
              <w:pStyle w:val="12"/>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91" w:type="dxa"/>
            <w:vAlign w:val="center"/>
          </w:tcPr>
          <w:p w14:paraId="689EF61A">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0ABCA16A">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7FF77839">
            <w:pPr>
              <w:snapToGrid w:val="0"/>
              <w:spacing w:line="540" w:lineRule="exact"/>
              <w:rPr>
                <w:rFonts w:hint="default" w:ascii="Times New Roman" w:hAnsi="Times New Roman" w:eastAsia="仿宋" w:cs="Times New Roman"/>
                <w:color w:val="auto"/>
                <w:sz w:val="22"/>
                <w:szCs w:val="22"/>
                <w:highlight w:val="none"/>
              </w:rPr>
            </w:pPr>
          </w:p>
        </w:tc>
      </w:tr>
      <w:tr w14:paraId="7C34E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C5084F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423" w:type="dxa"/>
            <w:vAlign w:val="center"/>
          </w:tcPr>
          <w:p w14:paraId="68D9E0C4">
            <w:pPr>
              <w:pStyle w:val="12"/>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91" w:type="dxa"/>
            <w:vAlign w:val="center"/>
          </w:tcPr>
          <w:p w14:paraId="3747CEBC">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724D73B6">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0D220A4E">
            <w:pPr>
              <w:snapToGrid w:val="0"/>
              <w:spacing w:line="540" w:lineRule="exact"/>
              <w:rPr>
                <w:rFonts w:hint="default" w:ascii="Times New Roman" w:hAnsi="Times New Roman" w:eastAsia="仿宋" w:cs="Times New Roman"/>
                <w:color w:val="auto"/>
                <w:sz w:val="22"/>
                <w:szCs w:val="22"/>
                <w:highlight w:val="none"/>
              </w:rPr>
            </w:pPr>
          </w:p>
        </w:tc>
      </w:tr>
      <w:tr w14:paraId="75C44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44221B9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423" w:type="dxa"/>
            <w:vAlign w:val="center"/>
          </w:tcPr>
          <w:p w14:paraId="2BD2CBCB">
            <w:pPr>
              <w:pStyle w:val="12"/>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91" w:type="dxa"/>
            <w:vAlign w:val="center"/>
          </w:tcPr>
          <w:p w14:paraId="36A3783C">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3DC82E34">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22873BA6">
            <w:pPr>
              <w:snapToGrid w:val="0"/>
              <w:spacing w:line="540" w:lineRule="exact"/>
              <w:rPr>
                <w:rFonts w:hint="default" w:ascii="Times New Roman" w:hAnsi="Times New Roman" w:eastAsia="仿宋" w:cs="Times New Roman"/>
                <w:color w:val="auto"/>
                <w:sz w:val="22"/>
                <w:szCs w:val="22"/>
                <w:highlight w:val="none"/>
              </w:rPr>
            </w:pPr>
          </w:p>
        </w:tc>
      </w:tr>
      <w:tr w14:paraId="20166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8A3546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423" w:type="dxa"/>
            <w:vAlign w:val="center"/>
          </w:tcPr>
          <w:p w14:paraId="62C5C10D">
            <w:pPr>
              <w:pStyle w:val="12"/>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营业执照、执业证书等有效证件</w:t>
            </w:r>
          </w:p>
        </w:tc>
        <w:tc>
          <w:tcPr>
            <w:tcW w:w="1591" w:type="dxa"/>
            <w:vAlign w:val="center"/>
          </w:tcPr>
          <w:p w14:paraId="1DDE5636">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1AC12CCE">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61C00206">
            <w:pPr>
              <w:snapToGrid w:val="0"/>
              <w:spacing w:line="540" w:lineRule="exact"/>
              <w:rPr>
                <w:rFonts w:hint="default" w:ascii="Times New Roman" w:hAnsi="Times New Roman" w:eastAsia="仿宋" w:cs="Times New Roman"/>
                <w:color w:val="auto"/>
                <w:sz w:val="22"/>
                <w:szCs w:val="22"/>
                <w:highlight w:val="none"/>
              </w:rPr>
            </w:pPr>
          </w:p>
        </w:tc>
      </w:tr>
      <w:tr w14:paraId="5E6E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1C55B4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423" w:type="dxa"/>
            <w:vAlign w:val="center"/>
          </w:tcPr>
          <w:p w14:paraId="2F75806C">
            <w:pPr>
              <w:pStyle w:val="12"/>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91" w:type="dxa"/>
            <w:vAlign w:val="center"/>
          </w:tcPr>
          <w:p w14:paraId="7FBDF74C">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3556146F">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00CCE962">
            <w:pPr>
              <w:snapToGrid w:val="0"/>
              <w:spacing w:line="540" w:lineRule="exact"/>
              <w:rPr>
                <w:rFonts w:hint="default" w:ascii="Times New Roman" w:hAnsi="Times New Roman" w:eastAsia="仿宋" w:cs="Times New Roman"/>
                <w:color w:val="auto"/>
                <w:sz w:val="22"/>
                <w:szCs w:val="22"/>
                <w:highlight w:val="none"/>
              </w:rPr>
            </w:pPr>
          </w:p>
        </w:tc>
      </w:tr>
      <w:tr w14:paraId="06282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8ED9C3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423" w:type="dxa"/>
            <w:vAlign w:val="center"/>
          </w:tcPr>
          <w:p w14:paraId="377B7C02">
            <w:pPr>
              <w:pStyle w:val="12"/>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廉洁自律承诺书</w:t>
            </w:r>
          </w:p>
        </w:tc>
        <w:tc>
          <w:tcPr>
            <w:tcW w:w="1591" w:type="dxa"/>
            <w:vAlign w:val="center"/>
          </w:tcPr>
          <w:p w14:paraId="6A1E54AC">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13352777">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30711CC5">
            <w:pPr>
              <w:snapToGrid w:val="0"/>
              <w:spacing w:line="540" w:lineRule="exact"/>
              <w:rPr>
                <w:rFonts w:hint="default" w:ascii="Times New Roman" w:hAnsi="Times New Roman" w:eastAsia="仿宋" w:cs="Times New Roman"/>
                <w:color w:val="auto"/>
                <w:sz w:val="22"/>
                <w:szCs w:val="22"/>
                <w:highlight w:val="none"/>
              </w:rPr>
            </w:pPr>
          </w:p>
        </w:tc>
      </w:tr>
      <w:tr w14:paraId="48BDD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4679DD4D">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423" w:type="dxa"/>
            <w:vAlign w:val="center"/>
          </w:tcPr>
          <w:p w14:paraId="7FCC45CA">
            <w:pPr>
              <w:pStyle w:val="12"/>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服务承诺书</w:t>
            </w:r>
          </w:p>
        </w:tc>
        <w:tc>
          <w:tcPr>
            <w:tcW w:w="1591" w:type="dxa"/>
            <w:vAlign w:val="center"/>
          </w:tcPr>
          <w:p w14:paraId="2E25FFA2">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2C5C4DC3">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539A13CA">
            <w:pPr>
              <w:snapToGrid w:val="0"/>
              <w:spacing w:line="540" w:lineRule="exact"/>
              <w:rPr>
                <w:rFonts w:hint="default" w:ascii="Times New Roman" w:hAnsi="Times New Roman" w:eastAsia="仿宋" w:cs="Times New Roman"/>
                <w:color w:val="auto"/>
                <w:sz w:val="22"/>
                <w:szCs w:val="22"/>
                <w:highlight w:val="none"/>
              </w:rPr>
            </w:pPr>
          </w:p>
        </w:tc>
      </w:tr>
      <w:tr w14:paraId="6C2B9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3945383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423" w:type="dxa"/>
            <w:vAlign w:val="center"/>
          </w:tcPr>
          <w:p w14:paraId="24CBEBF7">
            <w:pPr>
              <w:pStyle w:val="12"/>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91" w:type="dxa"/>
            <w:vAlign w:val="center"/>
          </w:tcPr>
          <w:p w14:paraId="3803235B">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55F5218C">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2884A665">
            <w:pPr>
              <w:snapToGrid w:val="0"/>
              <w:spacing w:line="540" w:lineRule="exact"/>
              <w:rPr>
                <w:rFonts w:hint="default" w:ascii="Times New Roman" w:hAnsi="Times New Roman" w:eastAsia="仿宋" w:cs="Times New Roman"/>
                <w:color w:val="auto"/>
                <w:sz w:val="22"/>
                <w:szCs w:val="22"/>
                <w:highlight w:val="none"/>
              </w:rPr>
            </w:pPr>
          </w:p>
        </w:tc>
      </w:tr>
      <w:tr w14:paraId="65635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08FB4F8C">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423" w:type="dxa"/>
            <w:vAlign w:val="center"/>
          </w:tcPr>
          <w:p w14:paraId="3F09E8FA">
            <w:pPr>
              <w:pStyle w:val="12"/>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招标代理服务方案</w:t>
            </w:r>
          </w:p>
        </w:tc>
        <w:tc>
          <w:tcPr>
            <w:tcW w:w="1591" w:type="dxa"/>
            <w:vAlign w:val="center"/>
          </w:tcPr>
          <w:p w14:paraId="1802C557">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612516C2">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7B58EE06">
            <w:pPr>
              <w:snapToGrid w:val="0"/>
              <w:spacing w:line="540" w:lineRule="exact"/>
              <w:rPr>
                <w:rFonts w:hint="default" w:ascii="Times New Roman" w:hAnsi="Times New Roman" w:eastAsia="仿宋" w:cs="Times New Roman"/>
                <w:color w:val="auto"/>
                <w:sz w:val="22"/>
                <w:szCs w:val="22"/>
                <w:highlight w:val="none"/>
              </w:rPr>
            </w:pPr>
          </w:p>
        </w:tc>
      </w:tr>
      <w:tr w14:paraId="2B6FF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4AD4EBC">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423" w:type="dxa"/>
            <w:vAlign w:val="center"/>
          </w:tcPr>
          <w:p w14:paraId="7E355247">
            <w:pPr>
              <w:pStyle w:val="12"/>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金融类业务招标代理服务业绩</w:t>
            </w:r>
          </w:p>
        </w:tc>
        <w:tc>
          <w:tcPr>
            <w:tcW w:w="1591" w:type="dxa"/>
            <w:vAlign w:val="center"/>
          </w:tcPr>
          <w:p w14:paraId="24EBF8CE">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125B6155">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42E2A22A">
            <w:pPr>
              <w:snapToGrid w:val="0"/>
              <w:spacing w:line="540" w:lineRule="exact"/>
              <w:rPr>
                <w:rFonts w:hint="default" w:ascii="Times New Roman" w:hAnsi="Times New Roman" w:eastAsia="仿宋" w:cs="Times New Roman"/>
                <w:color w:val="auto"/>
                <w:sz w:val="22"/>
                <w:szCs w:val="22"/>
                <w:highlight w:val="none"/>
              </w:rPr>
            </w:pPr>
          </w:p>
        </w:tc>
      </w:tr>
      <w:tr w14:paraId="1F063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14:paraId="1EAFCE4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11</w:t>
            </w:r>
          </w:p>
        </w:tc>
        <w:tc>
          <w:tcPr>
            <w:tcW w:w="4423" w:type="dxa"/>
            <w:vAlign w:val="center"/>
          </w:tcPr>
          <w:p w14:paraId="3D3ABD50">
            <w:pPr>
              <w:pStyle w:val="12"/>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其他资料</w:t>
            </w:r>
          </w:p>
        </w:tc>
        <w:tc>
          <w:tcPr>
            <w:tcW w:w="1591" w:type="dxa"/>
            <w:vAlign w:val="center"/>
          </w:tcPr>
          <w:p w14:paraId="0147B044">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41C70A8B">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69C4CBEF">
            <w:pPr>
              <w:snapToGrid w:val="0"/>
              <w:spacing w:line="540" w:lineRule="exact"/>
              <w:rPr>
                <w:rFonts w:hint="default" w:ascii="Times New Roman" w:hAnsi="Times New Roman" w:eastAsia="仿宋" w:cs="Times New Roman"/>
                <w:color w:val="auto"/>
                <w:sz w:val="22"/>
                <w:szCs w:val="22"/>
                <w:highlight w:val="none"/>
              </w:rPr>
            </w:pPr>
          </w:p>
        </w:tc>
      </w:tr>
    </w:tbl>
    <w:p w14:paraId="44AD4D55">
      <w:pPr>
        <w:pStyle w:val="24"/>
        <w:ind w:left="0" w:leftChars="0" w:firstLine="0" w:firstLineChars="0"/>
        <w:rPr>
          <w:rFonts w:hint="default" w:ascii="Times New Roman" w:hAnsi="Times New Roman" w:eastAsia="仿宋" w:cs="Times New Roman"/>
          <w:color w:val="auto"/>
          <w:sz w:val="24"/>
          <w:szCs w:val="24"/>
        </w:rPr>
      </w:pPr>
    </w:p>
    <w:p w14:paraId="549E34CF">
      <w:pPr>
        <w:rPr>
          <w:rFonts w:hint="default" w:ascii="Times New Roman" w:hAnsi="Times New Roman" w:cs="Times New Roman"/>
        </w:rPr>
      </w:pPr>
      <w:r>
        <w:rPr>
          <w:rFonts w:hint="default" w:ascii="Times New Roman" w:hAnsi="Times New Roman" w:eastAsia="仿宋" w:cs="Times New Roman"/>
          <w:color w:val="auto"/>
          <w:sz w:val="24"/>
          <w:szCs w:val="24"/>
        </w:rPr>
        <w:br w:type="page"/>
      </w:r>
    </w:p>
    <w:p w14:paraId="28C38011">
      <w:pPr>
        <w:pStyle w:val="12"/>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5AB9D54A">
      <w:pPr>
        <w:pStyle w:val="12"/>
        <w:spacing w:line="360" w:lineRule="auto"/>
        <w:jc w:val="center"/>
        <w:rPr>
          <w:rFonts w:hint="default" w:ascii="Times New Roman" w:hAnsi="Times New Roman" w:eastAsia="仿宋" w:cs="Times New Roman"/>
          <w:b/>
          <w:snapToGrid w:val="0"/>
          <w:color w:val="auto"/>
          <w:kern w:val="0"/>
          <w:sz w:val="24"/>
          <w:szCs w:val="24"/>
        </w:rPr>
      </w:pPr>
    </w:p>
    <w:p w14:paraId="18EBB1C4">
      <w:pPr>
        <w:spacing w:before="50" w:afterLines="50" w:line="360" w:lineRule="auto"/>
        <w:contextualSpacing/>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项目编号：</w:t>
      </w:r>
      <w:r>
        <w:rPr>
          <w:rFonts w:hint="default" w:ascii="Times New Roman" w:hAnsi="Times New Roman" w:eastAsia="仿宋" w:cs="Times New Roman"/>
          <w:b/>
          <w:bCs/>
          <w:color w:val="auto"/>
          <w:sz w:val="24"/>
          <w:szCs w:val="24"/>
          <w:lang w:val="en-US" w:eastAsia="zh-CN"/>
        </w:rPr>
        <w:t>RZB-2025001号</w:t>
      </w:r>
    </w:p>
    <w:p w14:paraId="128B7C7B">
      <w:pPr>
        <w:pStyle w:val="2"/>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val="0"/>
          <w:bCs w:val="0"/>
          <w:color w:val="auto"/>
          <w:kern w:val="2"/>
          <w:sz w:val="24"/>
          <w:szCs w:val="24"/>
          <w:lang w:val="en-US" w:eastAsia="zh-CN" w:bidi="ar-SA"/>
        </w:rPr>
        <w:t>项目名称：</w:t>
      </w:r>
      <w:r>
        <w:rPr>
          <w:rFonts w:hint="default" w:ascii="Times New Roman" w:hAnsi="Times New Roman" w:eastAsia="仿宋" w:cs="Times New Roman"/>
          <w:b/>
          <w:bCs/>
          <w:color w:val="auto"/>
          <w:kern w:val="2"/>
          <w:sz w:val="24"/>
          <w:szCs w:val="24"/>
          <w:lang w:val="en-US" w:eastAsia="zh-CN" w:bidi="ar-SA"/>
        </w:rPr>
        <w:t>许昌市城投发展集团有限公司2025年度非公开发行专项品种公司债券主承销商招标代理机构比选项目</w:t>
      </w:r>
    </w:p>
    <w:tbl>
      <w:tblPr>
        <w:tblStyle w:val="26"/>
        <w:tblpPr w:leftFromText="180" w:rightFromText="180" w:vertAnchor="text" w:horzAnchor="page" w:tblpX="1794" w:tblpY="529"/>
        <w:tblOverlap w:val="never"/>
        <w:tblW w:w="8591" w:type="dxa"/>
        <w:tblInd w:w="0" w:type="dxa"/>
        <w:tblLayout w:type="fixed"/>
        <w:tblCellMar>
          <w:top w:w="0" w:type="dxa"/>
          <w:left w:w="108" w:type="dxa"/>
          <w:bottom w:w="0" w:type="dxa"/>
          <w:right w:w="108" w:type="dxa"/>
        </w:tblCellMar>
      </w:tblPr>
      <w:tblGrid>
        <w:gridCol w:w="741"/>
        <w:gridCol w:w="2924"/>
        <w:gridCol w:w="3834"/>
        <w:gridCol w:w="1092"/>
      </w:tblGrid>
      <w:tr w14:paraId="2C9BC8F9">
        <w:tblPrEx>
          <w:tblCellMar>
            <w:top w:w="0" w:type="dxa"/>
            <w:left w:w="108" w:type="dxa"/>
            <w:bottom w:w="0" w:type="dxa"/>
            <w:right w:w="108" w:type="dxa"/>
          </w:tblCellMar>
        </w:tblPrEx>
        <w:trPr>
          <w:trHeight w:val="851" w:hRule="atLeast"/>
        </w:trPr>
        <w:tc>
          <w:tcPr>
            <w:tcW w:w="741" w:type="dxa"/>
            <w:tcBorders>
              <w:top w:val="single" w:color="auto" w:sz="6" w:space="0"/>
              <w:left w:val="single" w:color="auto" w:sz="6" w:space="0"/>
              <w:bottom w:val="single" w:color="auto" w:sz="6" w:space="0"/>
              <w:right w:val="single" w:color="auto" w:sz="6" w:space="0"/>
            </w:tcBorders>
            <w:shd w:val="clear" w:color="auto" w:fill="F2F2F2"/>
            <w:vAlign w:val="center"/>
          </w:tcPr>
          <w:p w14:paraId="01A3DDCF">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2924" w:type="dxa"/>
            <w:tcBorders>
              <w:top w:val="single" w:color="auto" w:sz="6" w:space="0"/>
              <w:left w:val="single" w:color="auto" w:sz="6" w:space="0"/>
              <w:bottom w:val="single" w:color="auto" w:sz="6" w:space="0"/>
              <w:right w:val="single" w:color="auto" w:sz="6" w:space="0"/>
            </w:tcBorders>
            <w:shd w:val="clear" w:color="auto" w:fill="F2F2F2"/>
            <w:vAlign w:val="center"/>
          </w:tcPr>
          <w:p w14:paraId="1811461F">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3834" w:type="dxa"/>
            <w:tcBorders>
              <w:top w:val="single" w:color="auto" w:sz="6" w:space="0"/>
              <w:left w:val="single" w:color="auto" w:sz="6" w:space="0"/>
              <w:bottom w:val="single" w:color="auto" w:sz="6" w:space="0"/>
              <w:right w:val="single" w:color="auto" w:sz="6" w:space="0"/>
            </w:tcBorders>
            <w:shd w:val="clear" w:color="auto" w:fill="F2F2F2"/>
            <w:vAlign w:val="center"/>
          </w:tcPr>
          <w:p w14:paraId="5A37E248">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1092" w:type="dxa"/>
            <w:tcBorders>
              <w:top w:val="single" w:color="auto" w:sz="6" w:space="0"/>
              <w:left w:val="single" w:color="auto" w:sz="6" w:space="0"/>
              <w:bottom w:val="single" w:color="auto" w:sz="6" w:space="0"/>
              <w:right w:val="single" w:color="auto" w:sz="6" w:space="0"/>
            </w:tcBorders>
            <w:shd w:val="clear" w:color="auto" w:fill="F2F2F2"/>
            <w:vAlign w:val="center"/>
          </w:tcPr>
          <w:p w14:paraId="65E5A3B1">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0E1085C8">
        <w:tblPrEx>
          <w:tblCellMar>
            <w:top w:w="0" w:type="dxa"/>
            <w:left w:w="108" w:type="dxa"/>
            <w:bottom w:w="0" w:type="dxa"/>
            <w:right w:w="108" w:type="dxa"/>
          </w:tblCellMar>
        </w:tblPrEx>
        <w:trPr>
          <w:trHeight w:val="2067" w:hRule="atLeast"/>
        </w:trPr>
        <w:tc>
          <w:tcPr>
            <w:tcW w:w="741" w:type="dxa"/>
            <w:tcBorders>
              <w:top w:val="single" w:color="auto" w:sz="6" w:space="0"/>
              <w:left w:val="single" w:color="auto" w:sz="6" w:space="0"/>
              <w:bottom w:val="single" w:color="auto" w:sz="6" w:space="0"/>
              <w:right w:val="single" w:color="auto" w:sz="6" w:space="0"/>
            </w:tcBorders>
            <w:vAlign w:val="center"/>
          </w:tcPr>
          <w:p w14:paraId="5EFC12A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1</w:t>
            </w:r>
          </w:p>
        </w:tc>
        <w:tc>
          <w:tcPr>
            <w:tcW w:w="2924" w:type="dxa"/>
            <w:tcBorders>
              <w:top w:val="single" w:color="auto" w:sz="6" w:space="0"/>
              <w:left w:val="single" w:color="auto" w:sz="6" w:space="0"/>
              <w:bottom w:val="single" w:color="auto" w:sz="6" w:space="0"/>
              <w:right w:val="single" w:color="auto" w:sz="6" w:space="0"/>
            </w:tcBorders>
            <w:vAlign w:val="center"/>
          </w:tcPr>
          <w:p w14:paraId="5503EAA9">
            <w:pPr>
              <w:autoSpaceDE w:val="0"/>
              <w:autoSpaceDN w:val="0"/>
              <w:adjustRightInd w:val="0"/>
              <w:spacing w:line="540" w:lineRule="exact"/>
              <w:jc w:val="center"/>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_GB2312" w:cs="Times New Roman"/>
                <w:b/>
                <w:bCs/>
                <w:sz w:val="30"/>
                <w:szCs w:val="30"/>
                <w:lang w:val="en-US" w:eastAsia="zh-CN"/>
              </w:rPr>
              <w:t>许昌市城投发展集团有限公司2025年度非公开发行专项品种公司债券主承销商招标代理机构比选项目</w:t>
            </w:r>
          </w:p>
        </w:tc>
        <w:tc>
          <w:tcPr>
            <w:tcW w:w="3834" w:type="dxa"/>
            <w:tcBorders>
              <w:top w:val="single" w:color="auto" w:sz="6" w:space="0"/>
              <w:left w:val="single" w:color="auto" w:sz="6" w:space="0"/>
              <w:bottom w:val="single" w:color="auto" w:sz="6" w:space="0"/>
              <w:right w:val="single" w:color="auto" w:sz="6" w:space="0"/>
            </w:tcBorders>
            <w:vAlign w:val="center"/>
          </w:tcPr>
          <w:p w14:paraId="2AF69386">
            <w:pPr>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（大写）：</w:t>
            </w:r>
            <w:r>
              <w:rPr>
                <w:rFonts w:hint="default" w:ascii="Times New Roman" w:hAnsi="Times New Roman" w:cs="Times New Roman"/>
                <w:color w:val="auto"/>
                <w:sz w:val="28"/>
                <w:szCs w:val="28"/>
                <w:lang w:eastAsia="zh-CN"/>
              </w:rPr>
              <w:t>下浮</w:t>
            </w:r>
            <w:r>
              <w:rPr>
                <w:rFonts w:hint="default" w:ascii="Times New Roman" w:hAnsi="Times New Roman" w:cs="Times New Roman"/>
                <w:color w:val="auto"/>
                <w:sz w:val="28"/>
                <w:szCs w:val="28"/>
              </w:rPr>
              <w:t xml:space="preserve"> </w:t>
            </w:r>
          </w:p>
          <w:p w14:paraId="5465775A">
            <w:pPr>
              <w:jc w:val="left"/>
              <w:rPr>
                <w:rFonts w:hint="default" w:ascii="Times New Roman" w:hAnsi="Times New Roman" w:eastAsia="仿宋" w:cs="Times New Roman"/>
                <w:b/>
                <w:color w:val="auto"/>
                <w:sz w:val="28"/>
                <w:szCs w:val="28"/>
              </w:rPr>
            </w:pPr>
            <w:r>
              <w:rPr>
                <w:rFonts w:hint="default" w:ascii="Times New Roman" w:hAnsi="Times New Roman" w:cs="Times New Roman"/>
                <w:color w:val="auto"/>
                <w:sz w:val="28"/>
                <w:szCs w:val="28"/>
              </w:rPr>
              <w:t>（小写）：</w:t>
            </w:r>
            <w:r>
              <w:rPr>
                <w:rFonts w:hint="default" w:ascii="Times New Roman" w:hAnsi="Times New Roman" w:cs="Times New Roman"/>
                <w:color w:val="auto"/>
                <w:sz w:val="28"/>
                <w:szCs w:val="28"/>
                <w:lang w:eastAsia="zh-CN"/>
              </w:rPr>
              <w:t>下浮</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xml:space="preserve"> %</w:t>
            </w:r>
          </w:p>
          <w:p w14:paraId="2997154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562" w:firstLineChars="200"/>
              <w:jc w:val="both"/>
              <w:textAlignment w:val="auto"/>
              <w:outlineLvl w:val="9"/>
              <w:rPr>
                <w:rFonts w:hint="default" w:ascii="Times New Roman" w:hAnsi="Times New Roman" w:eastAsia="仿宋" w:cs="Times New Roman"/>
                <w:b/>
                <w:color w:val="auto"/>
                <w:sz w:val="28"/>
                <w:szCs w:val="28"/>
              </w:rPr>
            </w:pPr>
          </w:p>
          <w:p w14:paraId="3214F56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jc w:val="both"/>
              <w:textAlignment w:val="auto"/>
              <w:outlineLvl w:val="9"/>
              <w:rPr>
                <w:rFonts w:hint="default" w:ascii="Times New Roman" w:hAnsi="Times New Roman" w:eastAsia="仿宋" w:cs="Times New Roman"/>
                <w:b/>
                <w:color w:val="auto"/>
                <w:sz w:val="28"/>
                <w:szCs w:val="28"/>
                <w:lang w:val="en-US" w:eastAsia="zh-CN"/>
              </w:rPr>
            </w:pPr>
            <w:r>
              <w:rPr>
                <w:rFonts w:hint="default" w:ascii="Times New Roman" w:hAnsi="Times New Roman" w:eastAsia="仿宋" w:cs="Times New Roman"/>
                <w:b/>
                <w:color w:val="auto"/>
                <w:sz w:val="28"/>
                <w:szCs w:val="28"/>
              </w:rPr>
              <w:t>注：</w:t>
            </w:r>
            <w:r>
              <w:rPr>
                <w:rFonts w:hint="default" w:ascii="Times New Roman" w:hAnsi="Times New Roman" w:eastAsia="仿宋" w:cs="Times New Roman"/>
                <w:b/>
                <w:color w:val="auto"/>
                <w:sz w:val="28"/>
                <w:szCs w:val="28"/>
                <w:lang w:val="en-US" w:eastAsia="zh-CN"/>
              </w:rPr>
              <w:t>1.投标下浮率</w:t>
            </w:r>
            <w:r>
              <w:rPr>
                <w:rFonts w:hint="default" w:ascii="Times New Roman" w:hAnsi="Times New Roman" w:eastAsia="仿宋" w:cs="Times New Roman"/>
                <w:b/>
                <w:color w:val="auto"/>
                <w:sz w:val="28"/>
                <w:szCs w:val="28"/>
                <w:lang w:val="en-US" w:eastAsia="zh-CN"/>
              </w:rPr>
              <w:t>≥</w:t>
            </w:r>
            <w:r>
              <w:rPr>
                <w:rFonts w:hint="default" w:ascii="Times New Roman" w:hAnsi="Times New Roman" w:eastAsia="仿宋" w:cs="Times New Roman"/>
                <w:b/>
                <w:color w:val="auto"/>
                <w:sz w:val="28"/>
                <w:szCs w:val="28"/>
                <w:lang w:val="en-US" w:eastAsia="zh-CN"/>
              </w:rPr>
              <w:t>20%；</w:t>
            </w:r>
          </w:p>
          <w:p w14:paraId="2AC6A336">
            <w:pPr>
              <w:autoSpaceDE w:val="0"/>
              <w:autoSpaceDN w:val="0"/>
              <w:adjustRightInd w:val="0"/>
              <w:spacing w:line="540" w:lineRule="exact"/>
              <w:jc w:val="center"/>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 w:cs="Times New Roman"/>
                <w:b/>
                <w:color w:val="auto"/>
                <w:sz w:val="28"/>
                <w:szCs w:val="28"/>
                <w:lang w:val="en-US" w:eastAsia="zh-CN"/>
              </w:rPr>
              <w:t xml:space="preserve">    2.下浮率</w:t>
            </w:r>
            <w:r>
              <w:rPr>
                <w:rFonts w:hint="default" w:ascii="Times New Roman" w:hAnsi="Times New Roman" w:eastAsia="仿宋" w:cs="Times New Roman"/>
                <w:b/>
                <w:color w:val="auto"/>
                <w:sz w:val="28"/>
                <w:szCs w:val="28"/>
              </w:rPr>
              <w:t>为百</w:t>
            </w:r>
            <w:r>
              <w:rPr>
                <w:rFonts w:hint="default" w:ascii="Times New Roman" w:hAnsi="Times New Roman" w:eastAsia="仿宋" w:cs="Times New Roman"/>
                <w:b/>
                <w:color w:val="auto"/>
                <w:sz w:val="28"/>
                <w:szCs w:val="28"/>
              </w:rPr>
              <w:t>分比，保留到小数点后</w:t>
            </w:r>
            <w:r>
              <w:rPr>
                <w:rFonts w:hint="default" w:ascii="Times New Roman" w:hAnsi="Times New Roman" w:eastAsia="仿宋" w:cs="Times New Roman"/>
                <w:b/>
                <w:color w:val="auto"/>
                <w:sz w:val="28"/>
                <w:szCs w:val="28"/>
                <w:lang w:val="en-US" w:eastAsia="zh-CN"/>
              </w:rPr>
              <w:t>二</w:t>
            </w:r>
            <w:r>
              <w:rPr>
                <w:rFonts w:hint="default" w:ascii="Times New Roman" w:hAnsi="Times New Roman" w:eastAsia="仿宋" w:cs="Times New Roman"/>
                <w:b/>
                <w:color w:val="auto"/>
                <w:sz w:val="28"/>
                <w:szCs w:val="28"/>
              </w:rPr>
              <w:t>位数</w:t>
            </w:r>
            <w:r>
              <w:rPr>
                <w:rFonts w:hint="default" w:ascii="Times New Roman" w:hAnsi="Times New Roman" w:eastAsia="仿宋" w:cs="Times New Roman"/>
                <w:b/>
                <w:color w:val="auto"/>
                <w:sz w:val="28"/>
                <w:szCs w:val="28"/>
                <w:lang w:eastAsia="zh-CN"/>
              </w:rPr>
              <w:t>。</w:t>
            </w:r>
            <w:r>
              <w:rPr>
                <w:rFonts w:hint="default" w:ascii="Times New Roman" w:hAnsi="Times New Roman" w:eastAsia="仿宋" w:cs="Times New Roman"/>
                <w:b/>
                <w:bCs/>
                <w:color w:val="auto"/>
                <w:sz w:val="30"/>
                <w:szCs w:val="30"/>
                <w:highlight w:val="none"/>
                <w:lang w:val="en-US" w:eastAsia="zh-CN"/>
              </w:rPr>
              <w:t xml:space="preserve">     </w:t>
            </w:r>
          </w:p>
        </w:tc>
        <w:tc>
          <w:tcPr>
            <w:tcW w:w="1092" w:type="dxa"/>
            <w:tcBorders>
              <w:top w:val="single" w:color="auto" w:sz="6" w:space="0"/>
              <w:left w:val="single" w:color="auto" w:sz="6" w:space="0"/>
              <w:bottom w:val="single" w:color="auto" w:sz="6" w:space="0"/>
              <w:right w:val="single" w:color="auto" w:sz="6" w:space="0"/>
            </w:tcBorders>
            <w:vAlign w:val="center"/>
          </w:tcPr>
          <w:p w14:paraId="60F496E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35191BF5">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5B13E133">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23C4482B">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012007A4">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18E87C7B">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3AB186D7">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报价单位为费率，</w:t>
      </w:r>
      <w:r>
        <w:rPr>
          <w:rFonts w:hint="default" w:ascii="Times New Roman" w:hAnsi="Times New Roman" w:eastAsia="仿宋" w:cs="Times New Roman"/>
          <w:color w:val="auto"/>
          <w:sz w:val="24"/>
          <w:szCs w:val="24"/>
          <w:highlight w:val="none"/>
        </w:rPr>
        <w:t>保留两位小数进行报价。</w:t>
      </w:r>
    </w:p>
    <w:p w14:paraId="218DCBD2">
      <w:pPr>
        <w:rPr>
          <w:rFonts w:hint="default" w:ascii="Times New Roman" w:hAnsi="Times New Roman" w:cs="Times New Roman"/>
          <w:lang w:val="zh-CN"/>
        </w:rPr>
      </w:pPr>
      <w:r>
        <w:rPr>
          <w:rFonts w:hint="default" w:ascii="Times New Roman" w:hAnsi="Times New Roman" w:eastAsia="仿宋" w:cs="Times New Roman"/>
          <w:color w:val="auto"/>
          <w:sz w:val="24"/>
          <w:szCs w:val="24"/>
          <w:lang w:val="zh-CN"/>
        </w:rPr>
        <w:br w:type="page"/>
      </w:r>
    </w:p>
    <w:p w14:paraId="1EF5B002">
      <w:pPr>
        <w:pStyle w:val="12"/>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066FAF10">
      <w:pPr>
        <w:pStyle w:val="24"/>
        <w:rPr>
          <w:rFonts w:hint="default" w:ascii="Times New Roman" w:hAnsi="Times New Roman" w:eastAsia="仿宋" w:cs="Times New Roman"/>
          <w:color w:val="auto"/>
          <w:sz w:val="24"/>
          <w:szCs w:val="24"/>
          <w:lang w:val="zh-CN"/>
        </w:rPr>
      </w:pPr>
    </w:p>
    <w:p w14:paraId="22E88BAC">
      <w:pPr>
        <w:spacing w:line="480" w:lineRule="exact"/>
        <w:jc w:val="center"/>
        <w:rPr>
          <w:rFonts w:hint="default" w:ascii="Times New Roman" w:hAnsi="Times New Roman" w:eastAsia="仿宋" w:cs="Times New Roman"/>
          <w:b/>
          <w:bCs/>
          <w:color w:val="auto"/>
          <w:sz w:val="24"/>
          <w:szCs w:val="24"/>
        </w:rPr>
      </w:pPr>
    </w:p>
    <w:p w14:paraId="22C6921C">
      <w:pPr>
        <w:pStyle w:val="12"/>
        <w:spacing w:line="360" w:lineRule="auto"/>
        <w:jc w:val="center"/>
        <w:rPr>
          <w:rFonts w:hint="default" w:ascii="Times New Roman" w:hAnsi="Times New Roman" w:eastAsia="仿宋" w:cs="Times New Roman"/>
          <w:b/>
          <w:snapToGrid w:val="0"/>
          <w:color w:val="auto"/>
          <w:kern w:val="0"/>
          <w:sz w:val="36"/>
          <w:szCs w:val="36"/>
          <w:lang w:eastAsia="zh-CN"/>
        </w:rPr>
      </w:pPr>
    </w:p>
    <w:p w14:paraId="5F4467A2">
      <w:pPr>
        <w:pStyle w:val="12"/>
        <w:spacing w:line="360" w:lineRule="auto"/>
        <w:jc w:val="center"/>
        <w:rPr>
          <w:rFonts w:hint="default" w:ascii="Times New Roman" w:hAnsi="Times New Roman" w:eastAsia="仿宋" w:cs="Times New Roman"/>
          <w:b/>
          <w:snapToGrid w:val="0"/>
          <w:color w:val="auto"/>
          <w:kern w:val="0"/>
          <w:sz w:val="36"/>
          <w:szCs w:val="36"/>
          <w:lang w:eastAsia="zh-CN"/>
        </w:rPr>
      </w:pPr>
    </w:p>
    <w:p w14:paraId="740FE690">
      <w:pPr>
        <w:pStyle w:val="12"/>
        <w:spacing w:line="360" w:lineRule="auto"/>
        <w:jc w:val="center"/>
        <w:rPr>
          <w:rFonts w:hint="default" w:ascii="Times New Roman" w:hAnsi="Times New Roman" w:eastAsia="仿宋" w:cs="Times New Roman"/>
          <w:b/>
          <w:snapToGrid w:val="0"/>
          <w:color w:val="auto"/>
          <w:kern w:val="0"/>
          <w:sz w:val="36"/>
          <w:szCs w:val="36"/>
          <w:lang w:eastAsia="zh-CN"/>
        </w:rPr>
      </w:pPr>
    </w:p>
    <w:p w14:paraId="56CF404B">
      <w:pPr>
        <w:pStyle w:val="12"/>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2796E877">
      <w:pPr>
        <w:jc w:val="left"/>
        <w:rPr>
          <w:rFonts w:hint="default" w:ascii="Times New Roman" w:hAnsi="Times New Roman" w:eastAsia="仿宋" w:cs="Times New Roman"/>
          <w:b/>
          <w:bCs/>
          <w:color w:val="auto"/>
          <w:sz w:val="24"/>
          <w:szCs w:val="24"/>
        </w:rPr>
      </w:pPr>
    </w:p>
    <w:p w14:paraId="303D384D">
      <w:pPr>
        <w:jc w:val="center"/>
        <w:rPr>
          <w:rFonts w:hint="default" w:ascii="Times New Roman" w:hAnsi="Times New Roman" w:eastAsia="仿宋" w:cs="Times New Roman"/>
          <w:b/>
          <w:bCs/>
          <w:color w:val="auto"/>
          <w:sz w:val="24"/>
          <w:szCs w:val="24"/>
          <w:lang w:val="en-US" w:eastAsia="zh-CN"/>
        </w:rPr>
      </w:pPr>
    </w:p>
    <w:p w14:paraId="189594C5">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附法定代表人身份证明、营业执照、执业证书等文件</w:t>
      </w:r>
    </w:p>
    <w:p w14:paraId="7DA766BD">
      <w:pPr>
        <w:jc w:val="left"/>
        <w:rPr>
          <w:rFonts w:hint="default" w:ascii="Times New Roman" w:hAnsi="Times New Roman" w:eastAsia="仿宋" w:cs="Times New Roman"/>
          <w:b/>
          <w:bCs/>
          <w:color w:val="auto"/>
          <w:sz w:val="32"/>
          <w:szCs w:val="32"/>
        </w:rPr>
      </w:pPr>
    </w:p>
    <w:p w14:paraId="1A00F70D">
      <w:pPr>
        <w:jc w:val="center"/>
        <w:rPr>
          <w:rFonts w:hint="default" w:ascii="Times New Roman" w:hAnsi="Times New Roman" w:eastAsia="仿宋" w:cs="Times New Roman"/>
          <w:b/>
          <w:bCs/>
          <w:color w:val="auto"/>
          <w:sz w:val="32"/>
          <w:szCs w:val="32"/>
          <w:lang w:val="en-US" w:eastAsia="zh-CN"/>
        </w:rPr>
      </w:pPr>
    </w:p>
    <w:p w14:paraId="7196E6FD">
      <w:pPr>
        <w:jc w:val="center"/>
        <w:rPr>
          <w:rFonts w:hint="default" w:ascii="Times New Roman" w:hAnsi="Times New Roman" w:eastAsia="仿宋" w:cs="Times New Roman"/>
          <w:b/>
          <w:bCs/>
          <w:color w:val="auto"/>
          <w:sz w:val="32"/>
          <w:szCs w:val="32"/>
          <w:lang w:val="en-US" w:eastAsia="zh-CN"/>
        </w:rPr>
      </w:pPr>
    </w:p>
    <w:p w14:paraId="7E25A68F">
      <w:pPr>
        <w:rPr>
          <w:rFonts w:hint="default" w:ascii="Times New Roman" w:hAnsi="Times New Roman" w:cs="Times New Roman"/>
          <w:sz w:val="32"/>
          <w:szCs w:val="32"/>
        </w:rPr>
      </w:pPr>
    </w:p>
    <w:p w14:paraId="7A98245C">
      <w:pPr>
        <w:jc w:val="left"/>
        <w:rPr>
          <w:rFonts w:hint="default" w:ascii="Times New Roman" w:hAnsi="Times New Roman" w:eastAsia="仿宋" w:cs="Times New Roman"/>
          <w:b/>
          <w:bCs/>
          <w:color w:val="auto"/>
          <w:sz w:val="32"/>
          <w:szCs w:val="32"/>
        </w:rPr>
      </w:pPr>
    </w:p>
    <w:p w14:paraId="1EC06597">
      <w:pPr>
        <w:jc w:val="left"/>
        <w:rPr>
          <w:rFonts w:hint="default" w:ascii="Times New Roman" w:hAnsi="Times New Roman" w:eastAsia="仿宋" w:cs="Times New Roman"/>
          <w:b/>
          <w:bCs/>
          <w:color w:val="auto"/>
          <w:sz w:val="32"/>
          <w:szCs w:val="32"/>
        </w:rPr>
      </w:pPr>
    </w:p>
    <w:p w14:paraId="279DEDA6">
      <w:pPr>
        <w:jc w:val="center"/>
        <w:rPr>
          <w:rFonts w:hint="default" w:ascii="Times New Roman" w:hAnsi="Times New Roman" w:eastAsia="仿宋" w:cs="Times New Roman"/>
          <w:b/>
          <w:bCs/>
          <w:color w:val="auto"/>
          <w:sz w:val="32"/>
          <w:szCs w:val="32"/>
          <w:lang w:val="en-US" w:eastAsia="zh-CN"/>
        </w:rPr>
      </w:pPr>
    </w:p>
    <w:p w14:paraId="7511ECCF">
      <w:pPr>
        <w:jc w:val="left"/>
        <w:rPr>
          <w:rFonts w:hint="default" w:ascii="Times New Roman" w:hAnsi="Times New Roman" w:eastAsia="仿宋" w:cs="Times New Roman"/>
          <w:b/>
          <w:bCs/>
          <w:color w:val="auto"/>
          <w:sz w:val="32"/>
          <w:szCs w:val="32"/>
        </w:rPr>
      </w:pPr>
    </w:p>
    <w:p w14:paraId="0049C386">
      <w:pPr>
        <w:jc w:val="left"/>
        <w:rPr>
          <w:rFonts w:hint="default" w:ascii="Times New Roman" w:hAnsi="Times New Roman" w:eastAsia="仿宋" w:cs="Times New Roman"/>
          <w:b/>
          <w:bCs/>
          <w:color w:val="auto"/>
          <w:sz w:val="32"/>
          <w:szCs w:val="32"/>
        </w:rPr>
      </w:pPr>
    </w:p>
    <w:p w14:paraId="0B2AA8C5">
      <w:pPr>
        <w:pStyle w:val="3"/>
        <w:numPr>
          <w:ilvl w:val="1"/>
          <w:numId w:val="0"/>
        </w:numPr>
        <w:rPr>
          <w:rFonts w:hint="default" w:ascii="Times New Roman" w:hAnsi="Times New Roman" w:cs="Times New Roman"/>
        </w:rPr>
      </w:pPr>
    </w:p>
    <w:p w14:paraId="10DD372B">
      <w:pPr>
        <w:rPr>
          <w:rFonts w:hint="default" w:ascii="Times New Roman" w:hAnsi="Times New Roman" w:cs="Times New Roman"/>
        </w:rPr>
      </w:pPr>
    </w:p>
    <w:p w14:paraId="01E708B0">
      <w:pPr>
        <w:rPr>
          <w:rFonts w:hint="default" w:ascii="Times New Roman" w:hAnsi="Times New Roman" w:cs="Times New Roman"/>
        </w:rPr>
      </w:pPr>
    </w:p>
    <w:p w14:paraId="3D72E547">
      <w:pPr>
        <w:rPr>
          <w:rFonts w:hint="default" w:ascii="Times New Roman" w:hAnsi="Times New Roman" w:cs="Times New Roman"/>
        </w:rPr>
      </w:pPr>
    </w:p>
    <w:p w14:paraId="67D10389">
      <w:pPr>
        <w:rPr>
          <w:rFonts w:hint="default" w:ascii="Times New Roman" w:hAnsi="Times New Roman" w:cs="Times New Roman"/>
        </w:rPr>
      </w:pPr>
    </w:p>
    <w:p w14:paraId="7FF421B4">
      <w:pPr>
        <w:jc w:val="left"/>
        <w:rPr>
          <w:rFonts w:hint="default" w:ascii="Times New Roman" w:hAnsi="Times New Roman" w:eastAsia="仿宋" w:cs="Times New Roman"/>
          <w:b/>
          <w:bCs/>
          <w:color w:val="auto"/>
          <w:sz w:val="24"/>
          <w:szCs w:val="24"/>
        </w:rPr>
      </w:pPr>
    </w:p>
    <w:p w14:paraId="5E43AB2A">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4.2投标人信用承诺函</w:t>
      </w:r>
    </w:p>
    <w:p w14:paraId="563DDC5E">
      <w:pPr>
        <w:autoSpaceDE w:val="0"/>
        <w:autoSpaceDN w:val="0"/>
        <w:adjustRightInd w:val="0"/>
        <w:spacing w:line="360" w:lineRule="auto"/>
        <w:jc w:val="center"/>
        <w:rPr>
          <w:rFonts w:hint="default" w:ascii="Times New Roman" w:hAnsi="Times New Roman" w:eastAsia="仿宋" w:cs="Times New Roman"/>
          <w:b/>
          <w:bCs/>
          <w:sz w:val="24"/>
          <w:szCs w:val="24"/>
        </w:rPr>
      </w:pPr>
    </w:p>
    <w:p w14:paraId="09A0FF17">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致</w:t>
      </w:r>
      <w:r>
        <w:rPr>
          <w:rFonts w:hint="default" w:ascii="Times New Roman" w:hAnsi="Times New Roman" w:eastAsia="仿宋" w:cs="Times New Roman"/>
          <w:color w:val="000000"/>
          <w:kern w:val="0"/>
          <w:sz w:val="28"/>
          <w:szCs w:val="28"/>
          <w:u w:val="single"/>
          <w:lang w:val="en-US" w:eastAsia="zh-CN" w:bidi="ar"/>
        </w:rPr>
        <w:t>许昌市城投发展集团有限公司</w:t>
      </w:r>
      <w:r>
        <w:rPr>
          <w:rFonts w:hint="default" w:ascii="Times New Roman" w:hAnsi="Times New Roman" w:eastAsia="仿宋" w:cs="Times New Roman"/>
          <w:color w:val="000000"/>
          <w:kern w:val="0"/>
          <w:sz w:val="28"/>
          <w:szCs w:val="28"/>
          <w:lang w:val="en-US" w:eastAsia="zh-CN" w:bidi="ar"/>
        </w:rPr>
        <w:t xml:space="preserve">： </w:t>
      </w:r>
    </w:p>
    <w:p w14:paraId="3614A3D2">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单位名称: </w:t>
      </w:r>
      <w:r>
        <w:rPr>
          <w:rFonts w:hint="default" w:ascii="Times New Roman" w:hAnsi="Times New Roman" w:eastAsia="仿宋" w:cs="Times New Roman"/>
          <w:sz w:val="28"/>
          <w:szCs w:val="28"/>
          <w:u w:val="single"/>
          <w:lang w:val="en-US" w:eastAsia="zh-CN"/>
        </w:rPr>
        <w:t xml:space="preserve">                   </w:t>
      </w:r>
    </w:p>
    <w:p w14:paraId="058C2658">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统一社会信用代码（身份证号码）: </w:t>
      </w:r>
      <w:r>
        <w:rPr>
          <w:rFonts w:hint="default" w:ascii="Times New Roman" w:hAnsi="Times New Roman" w:eastAsia="仿宋" w:cs="Times New Roman"/>
          <w:sz w:val="28"/>
          <w:szCs w:val="28"/>
          <w:u w:val="single"/>
          <w:lang w:val="en-US" w:eastAsia="zh-CN"/>
        </w:rPr>
        <w:t xml:space="preserve">           </w:t>
      </w:r>
    </w:p>
    <w:p w14:paraId="5C460445">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法定代表人（负责人）: </w:t>
      </w:r>
      <w:r>
        <w:rPr>
          <w:rFonts w:hint="default" w:ascii="Times New Roman" w:hAnsi="Times New Roman" w:eastAsia="仿宋" w:cs="Times New Roman"/>
          <w:sz w:val="28"/>
          <w:szCs w:val="28"/>
          <w:u w:val="single"/>
          <w:lang w:val="en-US" w:eastAsia="zh-CN"/>
        </w:rPr>
        <w:t xml:space="preserve">                     </w:t>
      </w:r>
    </w:p>
    <w:p w14:paraId="428DF694">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联系地址和电话： </w:t>
      </w:r>
      <w:r>
        <w:rPr>
          <w:rFonts w:hint="default" w:ascii="Times New Roman" w:hAnsi="Times New Roman" w:eastAsia="仿宋" w:cs="Times New Roman"/>
          <w:sz w:val="28"/>
          <w:szCs w:val="28"/>
          <w:u w:val="single"/>
          <w:lang w:val="en-US" w:eastAsia="zh-CN"/>
        </w:rPr>
        <w:t xml:space="preserve">                          </w:t>
      </w:r>
    </w:p>
    <w:p w14:paraId="6AC098F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为维护公平、公正、公开的市场秩序，树立诚实守信的投标人形象，我单位自愿作出以下承诺： </w:t>
      </w:r>
    </w:p>
    <w:p w14:paraId="0F045C2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一、我单位自愿参加本次比选活动，严格遵守相关法律法规，依法诚信经营，无条件遵守本次比选活动的各项规定，我单位（本人）郑重承诺，我单位符合《中华人民共和国政府采购法》第十三条、二十二条规定和招标文件、本承诺书的条件： </w:t>
      </w:r>
    </w:p>
    <w:p w14:paraId="5BA29BC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4413A80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（二）未被相关监管部门作出行政处罚且尚在处罚有效期的；</w:t>
      </w:r>
    </w:p>
    <w:p w14:paraId="042F17F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（三）未曾作出虚假承诺；</w:t>
      </w:r>
    </w:p>
    <w:p w14:paraId="009E3904">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（四）可正常展业，符合法律、行政法规规定的其他条件。</w:t>
      </w:r>
    </w:p>
    <w:p w14:paraId="374BBE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二、我单位保证上述承诺事项的真实性。如有弄虚作假或其他违法违规行为，自愿按照规定将违背承诺行为作为失信行为记录到社会信用信息平台，列入不良行为记录名单，在</w:t>
      </w:r>
      <w:r>
        <w:rPr>
          <w:rFonts w:hint="default" w:ascii="Times New Roman" w:hAnsi="Times New Roman" w:eastAsia="仿宋" w:cs="Times New Roman"/>
          <w:color w:val="000000"/>
          <w:kern w:val="0"/>
          <w:sz w:val="28"/>
          <w:szCs w:val="28"/>
          <w:highlight w:val="none"/>
          <w:lang w:val="en-US" w:eastAsia="zh-CN" w:bidi="ar"/>
        </w:rPr>
        <w:t>两年内</w:t>
      </w:r>
      <w:r>
        <w:rPr>
          <w:rFonts w:hint="default" w:ascii="Times New Roman" w:hAnsi="Times New Roman" w:eastAsia="仿宋" w:cs="Times New Roman"/>
          <w:color w:val="000000"/>
          <w:kern w:val="0"/>
          <w:sz w:val="28"/>
          <w:szCs w:val="28"/>
          <w:lang w:val="en-US" w:eastAsia="zh-CN" w:bidi="ar"/>
        </w:rPr>
        <w:t>禁止参加城投集团及子公司的所有</w:t>
      </w:r>
      <w:r>
        <w:rPr>
          <w:rFonts w:hint="default" w:ascii="Times New Roman" w:hAnsi="Times New Roman" w:eastAsia="仿宋" w:cs="Times New Roman"/>
          <w:color w:val="000000"/>
          <w:kern w:val="0"/>
          <w:sz w:val="28"/>
          <w:szCs w:val="28"/>
          <w:highlight w:val="none"/>
          <w:lang w:val="en-US" w:eastAsia="zh-CN" w:bidi="ar"/>
        </w:rPr>
        <w:t>招标（比选）活动</w:t>
      </w:r>
      <w:r>
        <w:rPr>
          <w:rFonts w:hint="default" w:ascii="Times New Roman" w:hAnsi="Times New Roman" w:eastAsia="仿宋" w:cs="Times New Roman"/>
          <w:color w:val="000000"/>
          <w:kern w:val="0"/>
          <w:sz w:val="28"/>
          <w:szCs w:val="28"/>
          <w:lang w:val="en-US" w:eastAsia="zh-CN" w:bidi="ar"/>
        </w:rPr>
        <w:t xml:space="preserve">。 </w:t>
      </w:r>
    </w:p>
    <w:p w14:paraId="054A0A8D">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000000"/>
          <w:kern w:val="0"/>
          <w:sz w:val="28"/>
          <w:szCs w:val="28"/>
          <w:lang w:val="en-US" w:eastAsia="zh-CN" w:bidi="ar"/>
        </w:rPr>
      </w:pPr>
    </w:p>
    <w:p w14:paraId="0BD93725">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color w:val="000000"/>
          <w:kern w:val="0"/>
          <w:sz w:val="28"/>
          <w:szCs w:val="28"/>
          <w:lang w:val="en-US" w:eastAsia="zh-CN" w:bidi="ar"/>
        </w:rPr>
      </w:pPr>
    </w:p>
    <w:p w14:paraId="33AB44A8">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Times New Roman" w:hAnsi="Times New Roman" w:eastAsia="仿宋" w:cs="Times New Roman"/>
          <w:sz w:val="28"/>
          <w:szCs w:val="28"/>
        </w:rPr>
      </w:pPr>
      <w:r>
        <w:rPr>
          <w:rFonts w:hint="eastAsia" w:ascii="Times New Roman" w:hAnsi="Times New Roman" w:eastAsia="仿宋" w:cs="Times New Roman"/>
          <w:color w:val="000000"/>
          <w:kern w:val="0"/>
          <w:sz w:val="28"/>
          <w:szCs w:val="28"/>
          <w:lang w:val="en-US" w:eastAsia="zh-CN" w:bidi="ar"/>
        </w:rPr>
        <w:t xml:space="preserve">              </w:t>
      </w:r>
      <w:r>
        <w:rPr>
          <w:rFonts w:hint="default" w:ascii="Times New Roman" w:hAnsi="Times New Roman" w:eastAsia="仿宋" w:cs="Times New Roman"/>
          <w:color w:val="000000"/>
          <w:kern w:val="0"/>
          <w:sz w:val="28"/>
          <w:szCs w:val="28"/>
          <w:lang w:val="en-US" w:eastAsia="zh-CN" w:bidi="ar"/>
        </w:rPr>
        <w:t xml:space="preserve">投标人（盖章）: </w:t>
      </w:r>
    </w:p>
    <w:p w14:paraId="03921ECF">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Times New Roman" w:hAnsi="Times New Roman" w:eastAsia="仿宋" w:cs="Times New Roman"/>
          <w:sz w:val="28"/>
          <w:szCs w:val="28"/>
        </w:rPr>
      </w:pPr>
      <w:r>
        <w:rPr>
          <w:rFonts w:hint="eastAsia" w:ascii="Times New Roman" w:hAnsi="Times New Roman" w:eastAsia="仿宋" w:cs="Times New Roman"/>
          <w:color w:val="000000"/>
          <w:kern w:val="0"/>
          <w:sz w:val="28"/>
          <w:szCs w:val="28"/>
          <w:lang w:val="en-US" w:eastAsia="zh-CN" w:bidi="ar"/>
        </w:rPr>
        <w:t xml:space="preserve">              </w:t>
      </w:r>
      <w:r>
        <w:rPr>
          <w:rFonts w:hint="default" w:ascii="Times New Roman" w:hAnsi="Times New Roman" w:eastAsia="仿宋" w:cs="Times New Roman"/>
          <w:color w:val="000000"/>
          <w:kern w:val="0"/>
          <w:sz w:val="28"/>
          <w:szCs w:val="28"/>
          <w:lang w:val="en-US" w:eastAsia="zh-CN" w:bidi="ar"/>
        </w:rPr>
        <w:t>日期： 年 月 日</w:t>
      </w:r>
    </w:p>
    <w:p w14:paraId="2CBC7AD9">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p>
    <w:p w14:paraId="290DCFC1">
      <w:pPr>
        <w:spacing w:before="100" w:beforeAutospacing="1" w:after="100" w:afterAutospacing="1" w:line="360" w:lineRule="auto"/>
        <w:ind w:firstLine="560" w:firstLineChars="200"/>
        <w:jc w:val="left"/>
        <w:rPr>
          <w:rFonts w:hint="default" w:ascii="Times New Roman" w:hAnsi="Times New Roman" w:eastAsia="仿宋" w:cs="Times New Roman"/>
          <w:color w:val="000000"/>
          <w:kern w:val="0"/>
          <w:sz w:val="28"/>
          <w:szCs w:val="28"/>
          <w:lang w:val="en-US" w:eastAsia="zh-CN" w:bidi="ar"/>
        </w:rPr>
      </w:pPr>
    </w:p>
    <w:p w14:paraId="6C8CC1C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5372575">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CBD9210">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59BF6D1">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BE78C0A">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E07E3A2">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012C886">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5E0C497">
      <w:pPr>
        <w:rPr>
          <w:rFonts w:hint="default" w:ascii="Times New Roman" w:hAnsi="Times New Roman" w:eastAsia="仿宋" w:cs="Times New Roman"/>
          <w:lang w:val="zh-CN"/>
        </w:rPr>
      </w:pPr>
    </w:p>
    <w:p w14:paraId="6F7872B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6AD553C">
      <w:pPr>
        <w:jc w:val="center"/>
        <w:rPr>
          <w:rFonts w:hint="default" w:ascii="Times New Roman" w:hAnsi="Times New Roman" w:eastAsia="仿宋" w:cs="Times New Roman"/>
          <w:b/>
          <w:bCs/>
          <w:color w:val="auto"/>
          <w:sz w:val="32"/>
          <w:szCs w:val="32"/>
          <w:highlight w:val="none"/>
          <w:lang w:val="en-US" w:eastAsia="zh-CN"/>
        </w:rPr>
      </w:pPr>
    </w:p>
    <w:p w14:paraId="4C177BD5">
      <w:pPr>
        <w:jc w:val="center"/>
        <w:rPr>
          <w:rFonts w:hint="default" w:ascii="Times New Roman" w:hAnsi="Times New Roman" w:eastAsia="仿宋" w:cs="Times New Roman"/>
          <w:b/>
          <w:bCs/>
          <w:color w:val="auto"/>
          <w:sz w:val="32"/>
          <w:szCs w:val="32"/>
          <w:highlight w:val="none"/>
          <w:lang w:val="en-US" w:eastAsia="zh-CN"/>
        </w:rPr>
      </w:pPr>
    </w:p>
    <w:p w14:paraId="350DD3DD">
      <w:pPr>
        <w:jc w:val="center"/>
        <w:rPr>
          <w:rFonts w:hint="default" w:ascii="Times New Roman" w:hAnsi="Times New Roman" w:eastAsia="仿宋" w:cs="Times New Roman"/>
          <w:b/>
          <w:bCs/>
          <w:color w:val="auto"/>
          <w:sz w:val="32"/>
          <w:szCs w:val="32"/>
          <w:highlight w:val="none"/>
          <w:lang w:val="en-US" w:eastAsia="zh-CN"/>
        </w:rPr>
      </w:pPr>
    </w:p>
    <w:p w14:paraId="6F5309D0">
      <w:pPr>
        <w:jc w:val="center"/>
        <w:rPr>
          <w:rFonts w:hint="default" w:ascii="Times New Roman" w:hAnsi="Times New Roman" w:eastAsia="仿宋" w:cs="Times New Roman"/>
          <w:b/>
          <w:bCs/>
          <w:color w:val="auto"/>
          <w:sz w:val="32"/>
          <w:szCs w:val="32"/>
          <w:highlight w:val="none"/>
          <w:lang w:val="en-US" w:eastAsia="zh-CN"/>
        </w:rPr>
      </w:pPr>
    </w:p>
    <w:p w14:paraId="3E79D09A">
      <w:pPr>
        <w:jc w:val="both"/>
        <w:rPr>
          <w:rFonts w:hint="default" w:ascii="Times New Roman" w:hAnsi="Times New Roman" w:eastAsia="仿宋" w:cs="Times New Roman"/>
          <w:b/>
          <w:bCs/>
          <w:color w:val="auto"/>
          <w:sz w:val="32"/>
          <w:szCs w:val="32"/>
          <w:highlight w:val="none"/>
          <w:lang w:val="en-US" w:eastAsia="zh-CN"/>
        </w:rPr>
      </w:pPr>
    </w:p>
    <w:p w14:paraId="58DE4FEB">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w:t>
      </w:r>
      <w:r>
        <w:rPr>
          <w:rFonts w:hint="default" w:ascii="Times New Roman" w:hAnsi="Times New Roman" w:eastAsia="仿宋" w:cs="Times New Roman"/>
          <w:b/>
          <w:bCs/>
          <w:color w:val="auto"/>
          <w:sz w:val="32"/>
          <w:szCs w:val="32"/>
          <w:highlight w:val="none"/>
          <w:lang w:val="en-US" w:eastAsia="zh-CN"/>
        </w:rPr>
        <w:t>3</w:t>
      </w:r>
      <w:r>
        <w:rPr>
          <w:rFonts w:hint="default" w:ascii="Times New Roman" w:hAnsi="Times New Roman" w:eastAsia="仿宋" w:cs="Times New Roman"/>
          <w:b/>
          <w:bCs/>
          <w:color w:val="auto"/>
          <w:sz w:val="32"/>
          <w:szCs w:val="32"/>
          <w:highlight w:val="none"/>
          <w:lang w:val="en-US" w:eastAsia="zh-CN"/>
        </w:rPr>
        <w:t xml:space="preserve"> 廉洁自律承诺书</w:t>
      </w:r>
    </w:p>
    <w:p w14:paraId="496500D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0E19208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许昌市城投发展集团有限公司</w:t>
      </w:r>
    </w:p>
    <w:p w14:paraId="7FA25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7091B7D5">
      <w:pPr>
        <w:pStyle w:val="75"/>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7BDA526B">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10B860D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415E9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142EB353">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B775C43">
      <w:pPr>
        <w:ind w:firstLine="6400" w:firstLineChars="2000"/>
        <w:rPr>
          <w:rFonts w:hint="default" w:ascii="Times New Roman" w:hAnsi="Times New Roman" w:eastAsia="仿宋_GB2312" w:cs="Times New Roman"/>
          <w:sz w:val="32"/>
          <w:szCs w:val="32"/>
        </w:rPr>
      </w:pPr>
    </w:p>
    <w:p w14:paraId="3C0D7D4B">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BDD621D">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5B87A1C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2CD5AB5">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AFECBEA">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88D3B27">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4.4 服务承诺</w:t>
      </w:r>
      <w:r>
        <w:rPr>
          <w:rFonts w:hint="default" w:ascii="Times New Roman" w:hAnsi="Times New Roman" w:eastAsia="仿宋" w:cs="Times New Roman"/>
          <w:b/>
          <w:bCs/>
          <w:color w:val="auto"/>
          <w:sz w:val="32"/>
          <w:szCs w:val="32"/>
          <w:highlight w:val="none"/>
          <w:lang w:val="en-US" w:eastAsia="zh-CN"/>
        </w:rPr>
        <w:t>书</w:t>
      </w:r>
    </w:p>
    <w:p w14:paraId="1F870073">
      <w:pPr>
        <w:rPr>
          <w:rFonts w:hint="default" w:ascii="Times New Roman" w:hAnsi="Times New Roman" w:cs="Times New Roman"/>
          <w:lang w:val="zh-CN"/>
        </w:rPr>
      </w:pPr>
    </w:p>
    <w:p w14:paraId="520FC7E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许昌市城投发展集团有限公司</w:t>
      </w:r>
    </w:p>
    <w:p w14:paraId="73E48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我单位递交比选申请文件即视为完全理解并同意本次比选服务内容：</w:t>
      </w:r>
    </w:p>
    <w:p w14:paraId="6DA3AE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协助比选人编制</w:t>
      </w:r>
      <w:r>
        <w:rPr>
          <w:rFonts w:hint="default" w:ascii="Times New Roman" w:hAnsi="Times New Roman" w:eastAsia="仿宋_GB2312" w:cs="Times New Roman"/>
          <w:sz w:val="32"/>
          <w:szCs w:val="32"/>
          <w:lang w:val="en-US" w:eastAsia="zh-CN"/>
        </w:rPr>
        <w:t>许昌市城投发展集团有限公司2025年度非公开发行专项品种公司债券主承销商招标项目招标文件</w:t>
      </w:r>
      <w:r>
        <w:rPr>
          <w:rFonts w:hint="default" w:ascii="Times New Roman" w:hAnsi="Times New Roman" w:eastAsia="仿宋_GB2312" w:cs="Times New Roman"/>
          <w:sz w:val="32"/>
          <w:szCs w:val="32"/>
          <w:lang w:eastAsia="zh-CN"/>
        </w:rPr>
        <w:t>；</w:t>
      </w:r>
    </w:p>
    <w:p w14:paraId="5AEE9E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提供开标场所并具备全程录音录像条件；</w:t>
      </w:r>
    </w:p>
    <w:p w14:paraId="45C6AC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建立外部评审专家库，具备抽取评审专家条件，同时外部评审专家库专家参评时必须在河南省综合评标或政府采购评审专家库中；</w:t>
      </w:r>
    </w:p>
    <w:p w14:paraId="549F24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协助比选人在中国招标投标公共服务平台等至少</w:t>
      </w:r>
      <w:r>
        <w:rPr>
          <w:rFonts w:hint="default" w:ascii="Times New Roman" w:hAnsi="Times New Roman" w:eastAsia="仿宋_GB2312" w:cs="Times New Roman"/>
          <w:sz w:val="32"/>
          <w:szCs w:val="32"/>
          <w:lang w:val="en-US" w:eastAsia="zh-CN"/>
        </w:rPr>
        <w:t>2家以上公共媒体发布招标公告</w:t>
      </w:r>
      <w:r>
        <w:rPr>
          <w:rFonts w:hint="default" w:ascii="Times New Roman" w:hAnsi="Times New Roman" w:eastAsia="仿宋_GB2312" w:cs="Times New Roman"/>
          <w:sz w:val="32"/>
          <w:szCs w:val="32"/>
          <w:lang w:eastAsia="zh-CN"/>
        </w:rPr>
        <w:t>；</w:t>
      </w:r>
    </w:p>
    <w:p w14:paraId="127983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协助比选人办理、整理、收集招标过程中所需的材料，并在招标结束后按照比选人要求整理全过程招标材料形成文件汇编、提供录音录像等电子文件；</w:t>
      </w:r>
    </w:p>
    <w:p w14:paraId="5E7FBC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sz w:val="32"/>
          <w:szCs w:val="32"/>
          <w:lang w:val="en-US" w:eastAsia="zh-CN"/>
        </w:rPr>
        <w:t>6、其他在招标过程中需要配合、协助比选人的事项。</w:t>
      </w:r>
    </w:p>
    <w:p w14:paraId="68A668A0">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我单位中标后将无条件严格按照上述服务内容开展工作。</w:t>
      </w:r>
    </w:p>
    <w:p w14:paraId="175C8EF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54F689F7">
      <w:pPr>
        <w:ind w:firstLine="6400" w:firstLineChars="2000"/>
        <w:rPr>
          <w:rFonts w:hint="default" w:ascii="Times New Roman" w:hAnsi="Times New Roman" w:eastAsia="仿宋_GB2312" w:cs="Times New Roman"/>
          <w:sz w:val="32"/>
          <w:szCs w:val="32"/>
        </w:rPr>
      </w:pPr>
    </w:p>
    <w:p w14:paraId="7CFCBBF2">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77FD491">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1FD0C06E">
      <w:pPr>
        <w:rPr>
          <w:rFonts w:hint="default" w:ascii="Times New Roman" w:hAnsi="Times New Roman" w:cs="Times New Roman"/>
          <w:lang w:val="zh-CN"/>
        </w:rPr>
      </w:pPr>
    </w:p>
    <w:p w14:paraId="2EF6C172">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080C7E40">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650A10FD">
      <w:pPr>
        <w:pStyle w:val="12"/>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4418F51C">
      <w:pPr>
        <w:pStyle w:val="12"/>
        <w:spacing w:line="360" w:lineRule="auto"/>
        <w:jc w:val="center"/>
        <w:rPr>
          <w:rFonts w:hint="default" w:ascii="Times New Roman" w:hAnsi="Times New Roman" w:eastAsia="仿宋" w:cs="Times New Roman"/>
          <w:b/>
          <w:bCs/>
          <w:color w:val="auto"/>
          <w:sz w:val="28"/>
          <w:szCs w:val="28"/>
          <w:highlight w:val="none"/>
          <w:lang w:val="en-US" w:eastAsia="zh-CN"/>
        </w:rPr>
      </w:pPr>
    </w:p>
    <w:p w14:paraId="57B015EB">
      <w:pPr>
        <w:pStyle w:val="12"/>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2699F318">
      <w:pPr>
        <w:pStyle w:val="12"/>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（投标人自行编制，需附项目团队人员资格证书、劳动合同等证明文件）</w:t>
      </w:r>
    </w:p>
    <w:p w14:paraId="2F3B975A">
      <w:pPr>
        <w:pStyle w:val="12"/>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450CD2B3">
      <w:pPr>
        <w:pStyle w:val="12"/>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714C2ECD">
      <w:pPr>
        <w:pStyle w:val="12"/>
        <w:spacing w:line="360" w:lineRule="auto"/>
        <w:jc w:val="center"/>
        <w:rPr>
          <w:rFonts w:hint="default" w:ascii="Times New Roman" w:hAnsi="Times New Roman" w:eastAsia="仿宋" w:cs="Times New Roman"/>
          <w:b/>
          <w:bCs/>
          <w:color w:val="auto"/>
          <w:sz w:val="28"/>
          <w:szCs w:val="28"/>
          <w:highlight w:val="none"/>
        </w:rPr>
      </w:pPr>
    </w:p>
    <w:p w14:paraId="09067536">
      <w:pPr>
        <w:pStyle w:val="12"/>
        <w:spacing w:line="360" w:lineRule="auto"/>
        <w:jc w:val="center"/>
        <w:rPr>
          <w:rFonts w:hint="default" w:ascii="Times New Roman" w:hAnsi="Times New Roman" w:eastAsia="仿宋" w:cs="Times New Roman"/>
          <w:b/>
          <w:bCs/>
          <w:color w:val="auto"/>
          <w:sz w:val="28"/>
          <w:szCs w:val="28"/>
          <w:highlight w:val="none"/>
        </w:rPr>
      </w:pPr>
    </w:p>
    <w:p w14:paraId="58C51AA2">
      <w:pPr>
        <w:pStyle w:val="12"/>
        <w:spacing w:line="360" w:lineRule="auto"/>
        <w:jc w:val="center"/>
        <w:rPr>
          <w:rFonts w:hint="default" w:ascii="Times New Roman" w:hAnsi="Times New Roman" w:eastAsia="仿宋" w:cs="Times New Roman"/>
          <w:b/>
          <w:bCs/>
          <w:color w:val="auto"/>
          <w:sz w:val="28"/>
          <w:szCs w:val="28"/>
          <w:highlight w:val="none"/>
        </w:rPr>
      </w:pPr>
    </w:p>
    <w:p w14:paraId="4858F1F7">
      <w:pPr>
        <w:rPr>
          <w:rFonts w:hint="default" w:ascii="Times New Roman" w:hAnsi="Times New Roman" w:eastAsia="仿宋" w:cs="Times New Roman"/>
          <w:color w:val="auto"/>
          <w:sz w:val="20"/>
          <w:szCs w:val="18"/>
          <w:highlight w:val="none"/>
        </w:rPr>
      </w:pPr>
    </w:p>
    <w:p w14:paraId="54BD0F4B">
      <w:pPr>
        <w:pStyle w:val="12"/>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5.2招标代理服务方案</w:t>
      </w:r>
    </w:p>
    <w:p w14:paraId="4823FE54">
      <w:pPr>
        <w:pStyle w:val="12"/>
        <w:spacing w:line="360" w:lineRule="auto"/>
        <w:jc w:val="center"/>
        <w:rPr>
          <w:rFonts w:hint="default" w:ascii="Times New Roman" w:hAnsi="Times New Roman" w:eastAsia="仿宋" w:cs="Times New Roman"/>
          <w:b/>
          <w:bCs/>
          <w:color w:val="auto"/>
          <w:sz w:val="28"/>
          <w:szCs w:val="28"/>
          <w:highlight w:val="none"/>
        </w:rPr>
      </w:pPr>
    </w:p>
    <w:p w14:paraId="1238A849">
      <w:pPr>
        <w:pStyle w:val="12"/>
        <w:spacing w:line="360" w:lineRule="auto"/>
        <w:jc w:val="both"/>
        <w:rPr>
          <w:rFonts w:hint="default" w:ascii="Times New Roman" w:hAnsi="Times New Roman" w:eastAsia="仿宋" w:cs="Times New Roman"/>
          <w:b/>
          <w:bCs/>
          <w:color w:val="auto"/>
          <w:sz w:val="28"/>
          <w:szCs w:val="28"/>
          <w:highlight w:val="none"/>
        </w:rPr>
      </w:pPr>
    </w:p>
    <w:p w14:paraId="1163BE56">
      <w:pPr>
        <w:pStyle w:val="12"/>
        <w:spacing w:line="360" w:lineRule="auto"/>
        <w:jc w:val="both"/>
        <w:rPr>
          <w:rFonts w:hint="default" w:ascii="Times New Roman" w:hAnsi="Times New Roman" w:eastAsia="仿宋" w:cs="Times New Roman"/>
          <w:b/>
          <w:bCs/>
          <w:color w:val="auto"/>
          <w:sz w:val="28"/>
          <w:szCs w:val="28"/>
          <w:highlight w:val="none"/>
        </w:rPr>
      </w:pPr>
    </w:p>
    <w:p w14:paraId="650C9622">
      <w:pPr>
        <w:pStyle w:val="12"/>
        <w:spacing w:line="360" w:lineRule="auto"/>
        <w:jc w:val="both"/>
        <w:rPr>
          <w:rFonts w:hint="default" w:ascii="Times New Roman" w:hAnsi="Times New Roman" w:eastAsia="仿宋" w:cs="Times New Roman"/>
          <w:b/>
          <w:bCs/>
          <w:color w:val="auto"/>
          <w:sz w:val="28"/>
          <w:szCs w:val="28"/>
          <w:highlight w:val="none"/>
        </w:rPr>
      </w:pPr>
    </w:p>
    <w:p w14:paraId="43EF1362">
      <w:pPr>
        <w:pStyle w:val="12"/>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5.3金融类业务招标代理服务业绩</w:t>
      </w:r>
    </w:p>
    <w:p w14:paraId="0E54F4A3">
      <w:pPr>
        <w:pStyle w:val="12"/>
        <w:spacing w:line="360" w:lineRule="auto"/>
        <w:jc w:val="center"/>
        <w:rPr>
          <w:rFonts w:hint="default" w:ascii="Times New Roman" w:hAnsi="Times New Roman" w:eastAsia="仿宋" w:cs="Times New Roman"/>
          <w:b/>
          <w:bCs/>
          <w:color w:val="auto"/>
          <w:sz w:val="28"/>
          <w:szCs w:val="28"/>
          <w:highlight w:val="none"/>
          <w:lang w:val="en-US" w:eastAsia="zh-CN"/>
        </w:rPr>
      </w:pPr>
    </w:p>
    <w:p w14:paraId="10E0A779">
      <w:pPr>
        <w:pStyle w:val="12"/>
        <w:spacing w:line="360" w:lineRule="auto"/>
        <w:jc w:val="center"/>
        <w:rPr>
          <w:rFonts w:hint="default" w:ascii="Times New Roman" w:hAnsi="Times New Roman" w:eastAsia="仿宋" w:cs="Times New Roman"/>
          <w:b/>
          <w:bCs/>
          <w:color w:val="auto"/>
          <w:sz w:val="28"/>
          <w:szCs w:val="28"/>
          <w:highlight w:val="none"/>
          <w:lang w:val="en-US" w:eastAsia="zh-CN"/>
        </w:rPr>
      </w:pPr>
    </w:p>
    <w:p w14:paraId="6813B0D7">
      <w:pPr>
        <w:pStyle w:val="12"/>
        <w:spacing w:line="360" w:lineRule="auto"/>
        <w:jc w:val="both"/>
        <w:rPr>
          <w:rFonts w:hint="default" w:ascii="Times New Roman" w:hAnsi="Times New Roman" w:eastAsia="仿宋" w:cs="Times New Roman"/>
          <w:b/>
          <w:bCs/>
          <w:color w:val="auto"/>
          <w:sz w:val="28"/>
          <w:szCs w:val="28"/>
          <w:highlight w:val="none"/>
          <w:lang w:val="en-US" w:eastAsia="zh-CN"/>
        </w:rPr>
      </w:pPr>
      <w:bookmarkStart w:id="9" w:name="_GoBack"/>
      <w:bookmarkEnd w:id="9"/>
    </w:p>
    <w:p w14:paraId="6A9293E5">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6992CA55">
      <w:pPr>
        <w:pStyle w:val="12"/>
        <w:spacing w:line="360" w:lineRule="auto"/>
        <w:jc w:val="center"/>
        <w:rPr>
          <w:rFonts w:hint="default" w:ascii="Times New Roman" w:hAnsi="Times New Roman" w:eastAsia="仿宋" w:cs="Times New Roman"/>
          <w:b/>
          <w:bCs/>
          <w:color w:val="auto"/>
          <w:sz w:val="28"/>
          <w:szCs w:val="28"/>
          <w:highlight w:val="none"/>
        </w:rPr>
      </w:pPr>
    </w:p>
    <w:p w14:paraId="3648F308">
      <w:pPr>
        <w:pStyle w:val="12"/>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75029301">
      <w:pPr>
        <w:pStyle w:val="3"/>
        <w:numPr>
          <w:ilvl w:val="1"/>
          <w:numId w:val="0"/>
        </w:numPr>
        <w:rPr>
          <w:rFonts w:hint="default" w:ascii="Times New Roman" w:hAnsi="Times New Roman" w:cs="Times New Roman"/>
          <w:lang w:eastAsia="zh-CN"/>
        </w:rPr>
      </w:pPr>
    </w:p>
    <w:p w14:paraId="5AE869B2">
      <w:pPr>
        <w:rPr>
          <w:rFonts w:hint="default" w:ascii="Times New Roman" w:hAnsi="Times New Roman" w:eastAsia="仿宋" w:cs="Times New Roman"/>
          <w:b/>
          <w:color w:val="auto"/>
          <w:sz w:val="36"/>
          <w:szCs w:val="36"/>
          <w:shd w:val="clear" w:color="060000" w:fill="auto"/>
          <w:lang w:eastAsia="zh-CN"/>
        </w:rPr>
      </w:pPr>
    </w:p>
    <w:p w14:paraId="1E12092F">
      <w:pPr>
        <w:rPr>
          <w:rFonts w:hint="default" w:ascii="Times New Roman" w:hAnsi="Times New Roman" w:cs="Times New Roman"/>
          <w:strike w:val="0"/>
          <w:color w:val="auto"/>
        </w:rPr>
      </w:pPr>
      <w:r>
        <w:rPr>
          <w:rFonts w:hint="default" w:ascii="Times New Roman" w:hAnsi="Times New Roman" w:eastAsia="仿宋" w:cs="Times New Roman"/>
          <w:b/>
          <w:color w:val="auto"/>
          <w:sz w:val="36"/>
          <w:szCs w:val="36"/>
          <w:shd w:val="clear" w:color="060000" w:fill="auto"/>
          <w:lang w:eastAsia="zh-CN"/>
        </w:rPr>
        <w:t>注：</w:t>
      </w:r>
      <w:r>
        <w:rPr>
          <w:rFonts w:hint="default" w:ascii="Times New Roman" w:hAnsi="Times New Roman" w:eastAsia="仿宋" w:cs="Times New Roman"/>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default" w:ascii="Times New Roman" w:hAnsi="Times New Roman" w:eastAsia="仿宋" w:cs="Times New Roman"/>
          <w:b/>
          <w:strike w:val="0"/>
          <w:color w:val="auto"/>
          <w:sz w:val="36"/>
          <w:szCs w:val="36"/>
          <w:shd w:val="clear" w:color="060000" w:fill="auto"/>
          <w:lang w:eastAsia="zh-CN"/>
        </w:rPr>
        <w:t>。</w:t>
      </w:r>
    </w:p>
    <w:p w14:paraId="7A8D96AD">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sectPr>
      <w:footerReference r:id="rId5"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9382A8A8-423E-4E8E-85B1-B94B489CC97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7F2FEEE7-9C92-4F00-A456-08708525E063}"/>
  </w:font>
  <w:font w:name="方正小标宋简体">
    <w:panose1 w:val="03000509000000000000"/>
    <w:charset w:val="86"/>
    <w:family w:val="script"/>
    <w:pitch w:val="default"/>
    <w:sig w:usb0="00000001" w:usb1="080E0000" w:usb2="00000000" w:usb3="00000000" w:csb0="00040000" w:csb1="00000000"/>
    <w:embedRegular r:id="rId3" w:fontKey="{4A74C6D7-4502-42DD-86EB-82199F4A70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96E05">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CA751">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BB0A1">
                          <w:pPr>
                            <w:pStyle w:val="15"/>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611BB0A1">
                    <w:pPr>
                      <w:pStyle w:val="15"/>
                    </w:pPr>
                    <w:r>
                      <w:fldChar w:fldCharType="begin"/>
                    </w:r>
                    <w:r>
                      <w:instrText xml:space="preserve"> PAGE  \* MERGEFORMAT </w:instrText>
                    </w:r>
                    <w:r>
                      <w:fldChar w:fldCharType="separate"/>
                    </w:r>
                    <w:r>
                      <w:t>0</w:t>
                    </w:r>
                    <w:r>
                      <w:fldChar w:fldCharType="end"/>
                    </w:r>
                  </w:p>
                </w:txbxContent>
              </v:textbox>
            </v:shape>
          </w:pict>
        </mc:Fallback>
      </mc:AlternateContent>
    </w:r>
  </w:p>
  <w:p w14:paraId="388E1FC0">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BAC8">
    <w:pPr>
      <w:pStyle w:val="15"/>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C4AB66">
                          <w:pPr>
                            <w:pStyle w:val="15"/>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14:paraId="77C4AB66">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F800"/>
    <w:multiLevelType w:val="singleLevel"/>
    <w:tmpl w:val="90BFF800"/>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3">
    <w:nsid w:val="59F817E8"/>
    <w:multiLevelType w:val="singleLevel"/>
    <w:tmpl w:val="59F817E8"/>
    <w:lvl w:ilvl="0" w:tentative="0">
      <w:start w:val="1"/>
      <w:numFmt w:val="chineseCounting"/>
      <w:pStyle w:val="52"/>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NzRlOWI5YjFkM2UyZjBmMDFmYjU4YWQwMmMzZWQ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610D4"/>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54DF"/>
    <w:rsid w:val="006D5DF1"/>
    <w:rsid w:val="006D6508"/>
    <w:rsid w:val="00715AA0"/>
    <w:rsid w:val="00735D7F"/>
    <w:rsid w:val="00770DE1"/>
    <w:rsid w:val="007E63DB"/>
    <w:rsid w:val="008741EF"/>
    <w:rsid w:val="00874C28"/>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E69B5"/>
    <w:rsid w:val="00E14A25"/>
    <w:rsid w:val="00E47705"/>
    <w:rsid w:val="00EA509F"/>
    <w:rsid w:val="00EB27AA"/>
    <w:rsid w:val="00EB4BAA"/>
    <w:rsid w:val="00EB5811"/>
    <w:rsid w:val="00ED22A3"/>
    <w:rsid w:val="00ED6FB8"/>
    <w:rsid w:val="00EE048C"/>
    <w:rsid w:val="00EE535D"/>
    <w:rsid w:val="00EF413A"/>
    <w:rsid w:val="00F90EFF"/>
    <w:rsid w:val="00FE5D69"/>
    <w:rsid w:val="00FF3955"/>
    <w:rsid w:val="010C0502"/>
    <w:rsid w:val="015A0EEF"/>
    <w:rsid w:val="01944054"/>
    <w:rsid w:val="019B2BEF"/>
    <w:rsid w:val="01A548CD"/>
    <w:rsid w:val="01A754AC"/>
    <w:rsid w:val="01F42D45"/>
    <w:rsid w:val="02144A87"/>
    <w:rsid w:val="02326E3B"/>
    <w:rsid w:val="02553FCA"/>
    <w:rsid w:val="026A40B0"/>
    <w:rsid w:val="02E62FD5"/>
    <w:rsid w:val="02FB57F1"/>
    <w:rsid w:val="0308368E"/>
    <w:rsid w:val="03AA0450"/>
    <w:rsid w:val="03FC5F2A"/>
    <w:rsid w:val="03FD2384"/>
    <w:rsid w:val="03FE312B"/>
    <w:rsid w:val="048E7480"/>
    <w:rsid w:val="04992949"/>
    <w:rsid w:val="04AE0156"/>
    <w:rsid w:val="053334A3"/>
    <w:rsid w:val="058F525E"/>
    <w:rsid w:val="059861B2"/>
    <w:rsid w:val="05FB5A9A"/>
    <w:rsid w:val="05FC1EA1"/>
    <w:rsid w:val="05FD550C"/>
    <w:rsid w:val="06124783"/>
    <w:rsid w:val="06551615"/>
    <w:rsid w:val="06C947A0"/>
    <w:rsid w:val="06E14AFA"/>
    <w:rsid w:val="06FF2B3A"/>
    <w:rsid w:val="073267E9"/>
    <w:rsid w:val="076745CB"/>
    <w:rsid w:val="07726C54"/>
    <w:rsid w:val="07862691"/>
    <w:rsid w:val="079166EF"/>
    <w:rsid w:val="07EE6482"/>
    <w:rsid w:val="07F36299"/>
    <w:rsid w:val="080000C0"/>
    <w:rsid w:val="0840235A"/>
    <w:rsid w:val="08B20716"/>
    <w:rsid w:val="08CB210B"/>
    <w:rsid w:val="08DA591A"/>
    <w:rsid w:val="08E21B49"/>
    <w:rsid w:val="09060634"/>
    <w:rsid w:val="09092C22"/>
    <w:rsid w:val="094B62C2"/>
    <w:rsid w:val="09EC320F"/>
    <w:rsid w:val="09FD7499"/>
    <w:rsid w:val="0A0107ED"/>
    <w:rsid w:val="0A0F77E2"/>
    <w:rsid w:val="0A1741F1"/>
    <w:rsid w:val="0A4C1970"/>
    <w:rsid w:val="0A873F23"/>
    <w:rsid w:val="0B1F3CE3"/>
    <w:rsid w:val="0B367E19"/>
    <w:rsid w:val="0BC62C8C"/>
    <w:rsid w:val="0BCF6E3B"/>
    <w:rsid w:val="0BF1322A"/>
    <w:rsid w:val="0BF4439B"/>
    <w:rsid w:val="0BFF607D"/>
    <w:rsid w:val="0C2D568A"/>
    <w:rsid w:val="0C394176"/>
    <w:rsid w:val="0C6B181D"/>
    <w:rsid w:val="0C85421C"/>
    <w:rsid w:val="0CD028DF"/>
    <w:rsid w:val="0CE82126"/>
    <w:rsid w:val="0CEF0CD8"/>
    <w:rsid w:val="0D5D0460"/>
    <w:rsid w:val="0D5D47A1"/>
    <w:rsid w:val="0D6D6787"/>
    <w:rsid w:val="0D7D0092"/>
    <w:rsid w:val="0D8E229F"/>
    <w:rsid w:val="0DB205B8"/>
    <w:rsid w:val="0E0908A4"/>
    <w:rsid w:val="0E270E4A"/>
    <w:rsid w:val="0E59677C"/>
    <w:rsid w:val="0E5C05EF"/>
    <w:rsid w:val="0EA555A2"/>
    <w:rsid w:val="0F29227F"/>
    <w:rsid w:val="0F3C1993"/>
    <w:rsid w:val="0F3F5ECC"/>
    <w:rsid w:val="0F5B5841"/>
    <w:rsid w:val="0F8C6010"/>
    <w:rsid w:val="0F920F42"/>
    <w:rsid w:val="0FF1616E"/>
    <w:rsid w:val="10602F00"/>
    <w:rsid w:val="106A54DC"/>
    <w:rsid w:val="10A96A1D"/>
    <w:rsid w:val="10B93643"/>
    <w:rsid w:val="10BC2049"/>
    <w:rsid w:val="10C77C97"/>
    <w:rsid w:val="10DB5A15"/>
    <w:rsid w:val="113E7AD2"/>
    <w:rsid w:val="11431174"/>
    <w:rsid w:val="115715E8"/>
    <w:rsid w:val="11661549"/>
    <w:rsid w:val="116D470F"/>
    <w:rsid w:val="11702FA8"/>
    <w:rsid w:val="117C5F04"/>
    <w:rsid w:val="11845B85"/>
    <w:rsid w:val="118E0DF0"/>
    <w:rsid w:val="11B251A7"/>
    <w:rsid w:val="11C56917"/>
    <w:rsid w:val="11EC4489"/>
    <w:rsid w:val="11FA4BEA"/>
    <w:rsid w:val="12127FED"/>
    <w:rsid w:val="121466FB"/>
    <w:rsid w:val="12691FF2"/>
    <w:rsid w:val="12724E69"/>
    <w:rsid w:val="12B652F8"/>
    <w:rsid w:val="12B75B24"/>
    <w:rsid w:val="12F26B7A"/>
    <w:rsid w:val="12FC6FC7"/>
    <w:rsid w:val="13286CF2"/>
    <w:rsid w:val="132964DD"/>
    <w:rsid w:val="134273A6"/>
    <w:rsid w:val="134D2675"/>
    <w:rsid w:val="138959E3"/>
    <w:rsid w:val="13DD188A"/>
    <w:rsid w:val="13F45245"/>
    <w:rsid w:val="1417033E"/>
    <w:rsid w:val="14260297"/>
    <w:rsid w:val="1461426A"/>
    <w:rsid w:val="14B9009A"/>
    <w:rsid w:val="14C13DF5"/>
    <w:rsid w:val="14DD52B7"/>
    <w:rsid w:val="1568300C"/>
    <w:rsid w:val="1578154F"/>
    <w:rsid w:val="15B61D16"/>
    <w:rsid w:val="15D370F1"/>
    <w:rsid w:val="15DC5FD5"/>
    <w:rsid w:val="16311C5B"/>
    <w:rsid w:val="16634A5A"/>
    <w:rsid w:val="16797AE5"/>
    <w:rsid w:val="168D490F"/>
    <w:rsid w:val="169B0083"/>
    <w:rsid w:val="16A23764"/>
    <w:rsid w:val="16A8318F"/>
    <w:rsid w:val="16AE1F94"/>
    <w:rsid w:val="16BF2CDE"/>
    <w:rsid w:val="16D47B5C"/>
    <w:rsid w:val="16F6268C"/>
    <w:rsid w:val="172054F7"/>
    <w:rsid w:val="17294B3E"/>
    <w:rsid w:val="17317322"/>
    <w:rsid w:val="1765168D"/>
    <w:rsid w:val="17AB5D47"/>
    <w:rsid w:val="17B1438A"/>
    <w:rsid w:val="17FC0062"/>
    <w:rsid w:val="184B4CB4"/>
    <w:rsid w:val="185022E7"/>
    <w:rsid w:val="18DE17DA"/>
    <w:rsid w:val="18F50CD3"/>
    <w:rsid w:val="191B509A"/>
    <w:rsid w:val="19842B65"/>
    <w:rsid w:val="19A22210"/>
    <w:rsid w:val="19C26506"/>
    <w:rsid w:val="19CE23A1"/>
    <w:rsid w:val="19CF5DED"/>
    <w:rsid w:val="19D13793"/>
    <w:rsid w:val="1A275FCD"/>
    <w:rsid w:val="1A5359A6"/>
    <w:rsid w:val="1A943AF7"/>
    <w:rsid w:val="1A960F86"/>
    <w:rsid w:val="1ABD7DAB"/>
    <w:rsid w:val="1AF8344E"/>
    <w:rsid w:val="1BA57132"/>
    <w:rsid w:val="1BB548EA"/>
    <w:rsid w:val="1BC670A8"/>
    <w:rsid w:val="1BF32215"/>
    <w:rsid w:val="1C1B1EB3"/>
    <w:rsid w:val="1C64690B"/>
    <w:rsid w:val="1C73706A"/>
    <w:rsid w:val="1C777D18"/>
    <w:rsid w:val="1CC40435"/>
    <w:rsid w:val="1CE0656D"/>
    <w:rsid w:val="1D82260D"/>
    <w:rsid w:val="1DE85A76"/>
    <w:rsid w:val="1E03326D"/>
    <w:rsid w:val="1E2F3584"/>
    <w:rsid w:val="1E4470D6"/>
    <w:rsid w:val="1E4F0105"/>
    <w:rsid w:val="1E700A63"/>
    <w:rsid w:val="1E8F2A30"/>
    <w:rsid w:val="1EA41285"/>
    <w:rsid w:val="1ED94129"/>
    <w:rsid w:val="1EE514B6"/>
    <w:rsid w:val="1EFF4E05"/>
    <w:rsid w:val="1F0749CA"/>
    <w:rsid w:val="1F4304FF"/>
    <w:rsid w:val="1F54299E"/>
    <w:rsid w:val="1F667C26"/>
    <w:rsid w:val="1F711DBC"/>
    <w:rsid w:val="1F867702"/>
    <w:rsid w:val="1F892C3A"/>
    <w:rsid w:val="1FA27D3A"/>
    <w:rsid w:val="1FBB2005"/>
    <w:rsid w:val="1FE21EC2"/>
    <w:rsid w:val="201008A9"/>
    <w:rsid w:val="20136519"/>
    <w:rsid w:val="205E2895"/>
    <w:rsid w:val="206F337B"/>
    <w:rsid w:val="20820C14"/>
    <w:rsid w:val="20AA62CB"/>
    <w:rsid w:val="20B00A53"/>
    <w:rsid w:val="215B337E"/>
    <w:rsid w:val="216C04F5"/>
    <w:rsid w:val="217B07D6"/>
    <w:rsid w:val="218712BD"/>
    <w:rsid w:val="21A2432F"/>
    <w:rsid w:val="21CD73E2"/>
    <w:rsid w:val="21D00C81"/>
    <w:rsid w:val="220254EF"/>
    <w:rsid w:val="22266AF2"/>
    <w:rsid w:val="229974B8"/>
    <w:rsid w:val="23A81EB5"/>
    <w:rsid w:val="23B100DE"/>
    <w:rsid w:val="23B6787C"/>
    <w:rsid w:val="23E21E1B"/>
    <w:rsid w:val="23F27D7B"/>
    <w:rsid w:val="243125A8"/>
    <w:rsid w:val="24657AC4"/>
    <w:rsid w:val="24882976"/>
    <w:rsid w:val="251578C4"/>
    <w:rsid w:val="2544167D"/>
    <w:rsid w:val="25866263"/>
    <w:rsid w:val="258F065A"/>
    <w:rsid w:val="260A78D4"/>
    <w:rsid w:val="262923F6"/>
    <w:rsid w:val="263D470E"/>
    <w:rsid w:val="26840989"/>
    <w:rsid w:val="26924756"/>
    <w:rsid w:val="26A625B8"/>
    <w:rsid w:val="26D97E99"/>
    <w:rsid w:val="26EB5C4C"/>
    <w:rsid w:val="271146E5"/>
    <w:rsid w:val="271907E2"/>
    <w:rsid w:val="27295DF1"/>
    <w:rsid w:val="2735397F"/>
    <w:rsid w:val="279D482F"/>
    <w:rsid w:val="27C645BC"/>
    <w:rsid w:val="27CD64A0"/>
    <w:rsid w:val="27CE007F"/>
    <w:rsid w:val="27EC4921"/>
    <w:rsid w:val="28120F00"/>
    <w:rsid w:val="28326AA6"/>
    <w:rsid w:val="28520A01"/>
    <w:rsid w:val="28821F73"/>
    <w:rsid w:val="288874B8"/>
    <w:rsid w:val="28A41075"/>
    <w:rsid w:val="28A7322C"/>
    <w:rsid w:val="28AD1416"/>
    <w:rsid w:val="28BA3DEA"/>
    <w:rsid w:val="28FA35CB"/>
    <w:rsid w:val="291A53C6"/>
    <w:rsid w:val="292D4147"/>
    <w:rsid w:val="29695641"/>
    <w:rsid w:val="297840D8"/>
    <w:rsid w:val="29D46E34"/>
    <w:rsid w:val="29EA3339"/>
    <w:rsid w:val="29F660A7"/>
    <w:rsid w:val="2A0E114D"/>
    <w:rsid w:val="2A327707"/>
    <w:rsid w:val="2A7423E6"/>
    <w:rsid w:val="2AE9771B"/>
    <w:rsid w:val="2AE97D0D"/>
    <w:rsid w:val="2B1C0D4E"/>
    <w:rsid w:val="2B55010B"/>
    <w:rsid w:val="2C212804"/>
    <w:rsid w:val="2C81364F"/>
    <w:rsid w:val="2CE0006A"/>
    <w:rsid w:val="2CE46E4B"/>
    <w:rsid w:val="2CFE05A2"/>
    <w:rsid w:val="2D17374A"/>
    <w:rsid w:val="2D306F2B"/>
    <w:rsid w:val="2DB15E8A"/>
    <w:rsid w:val="2DCE0BC4"/>
    <w:rsid w:val="2DCE1EBA"/>
    <w:rsid w:val="2DFE521A"/>
    <w:rsid w:val="2E59637B"/>
    <w:rsid w:val="2E5F5866"/>
    <w:rsid w:val="2EA77416"/>
    <w:rsid w:val="2ECB4055"/>
    <w:rsid w:val="2ED85DFF"/>
    <w:rsid w:val="2EF7784D"/>
    <w:rsid w:val="2F185D21"/>
    <w:rsid w:val="2F63028D"/>
    <w:rsid w:val="2F7716E9"/>
    <w:rsid w:val="2FB07FE7"/>
    <w:rsid w:val="300050A6"/>
    <w:rsid w:val="30415FA8"/>
    <w:rsid w:val="30741FB4"/>
    <w:rsid w:val="30750EE5"/>
    <w:rsid w:val="30AE55C4"/>
    <w:rsid w:val="30C35F0F"/>
    <w:rsid w:val="30FD4260"/>
    <w:rsid w:val="310821E5"/>
    <w:rsid w:val="31273A38"/>
    <w:rsid w:val="31576CC8"/>
    <w:rsid w:val="318A60B5"/>
    <w:rsid w:val="31A75185"/>
    <w:rsid w:val="31BB1CA7"/>
    <w:rsid w:val="31E42322"/>
    <w:rsid w:val="31F97998"/>
    <w:rsid w:val="32093536"/>
    <w:rsid w:val="326D294D"/>
    <w:rsid w:val="32A912AB"/>
    <w:rsid w:val="32AB643B"/>
    <w:rsid w:val="32D66B44"/>
    <w:rsid w:val="32EB1476"/>
    <w:rsid w:val="32FD4C9D"/>
    <w:rsid w:val="3307064A"/>
    <w:rsid w:val="33680739"/>
    <w:rsid w:val="33896EE1"/>
    <w:rsid w:val="339D540B"/>
    <w:rsid w:val="33DF56D7"/>
    <w:rsid w:val="33F614CC"/>
    <w:rsid w:val="34046622"/>
    <w:rsid w:val="35234AC0"/>
    <w:rsid w:val="354B6EE5"/>
    <w:rsid w:val="356E638F"/>
    <w:rsid w:val="35B53E09"/>
    <w:rsid w:val="35BE0B40"/>
    <w:rsid w:val="36005E25"/>
    <w:rsid w:val="360D1CB0"/>
    <w:rsid w:val="36300FF3"/>
    <w:rsid w:val="36771BA1"/>
    <w:rsid w:val="368734D4"/>
    <w:rsid w:val="368E76EE"/>
    <w:rsid w:val="36A27FE9"/>
    <w:rsid w:val="36AF3103"/>
    <w:rsid w:val="36BA2093"/>
    <w:rsid w:val="36C726DC"/>
    <w:rsid w:val="36F8714B"/>
    <w:rsid w:val="373C3AAF"/>
    <w:rsid w:val="3757121F"/>
    <w:rsid w:val="3768578B"/>
    <w:rsid w:val="379801D0"/>
    <w:rsid w:val="379B24E9"/>
    <w:rsid w:val="37A75B88"/>
    <w:rsid w:val="37B962F4"/>
    <w:rsid w:val="37E40B8A"/>
    <w:rsid w:val="37E9062B"/>
    <w:rsid w:val="37ED3FFC"/>
    <w:rsid w:val="380729ED"/>
    <w:rsid w:val="381E7EEB"/>
    <w:rsid w:val="381F1BC2"/>
    <w:rsid w:val="38D5710E"/>
    <w:rsid w:val="392E02B0"/>
    <w:rsid w:val="39343BEA"/>
    <w:rsid w:val="39922270"/>
    <w:rsid w:val="39954300"/>
    <w:rsid w:val="399F745E"/>
    <w:rsid w:val="39A1385A"/>
    <w:rsid w:val="39F01641"/>
    <w:rsid w:val="3A1A0D19"/>
    <w:rsid w:val="3A537A35"/>
    <w:rsid w:val="3A5E4C24"/>
    <w:rsid w:val="3A8A06D2"/>
    <w:rsid w:val="3AC7206B"/>
    <w:rsid w:val="3AE40EFC"/>
    <w:rsid w:val="3AFE3AA8"/>
    <w:rsid w:val="3B58781C"/>
    <w:rsid w:val="3B603FB5"/>
    <w:rsid w:val="3B9C1EA7"/>
    <w:rsid w:val="3BF3545F"/>
    <w:rsid w:val="3C074F53"/>
    <w:rsid w:val="3C1063F2"/>
    <w:rsid w:val="3C1A7543"/>
    <w:rsid w:val="3C3F1C5A"/>
    <w:rsid w:val="3C434DC6"/>
    <w:rsid w:val="3C5250C0"/>
    <w:rsid w:val="3C605616"/>
    <w:rsid w:val="3D307460"/>
    <w:rsid w:val="3D336A22"/>
    <w:rsid w:val="3D4358D5"/>
    <w:rsid w:val="3D815A91"/>
    <w:rsid w:val="3D935590"/>
    <w:rsid w:val="3DDE0AF1"/>
    <w:rsid w:val="3E0B0C1F"/>
    <w:rsid w:val="3E467EA9"/>
    <w:rsid w:val="3E902962"/>
    <w:rsid w:val="3E9E3989"/>
    <w:rsid w:val="3EB4066C"/>
    <w:rsid w:val="3EDF1821"/>
    <w:rsid w:val="3F051FBF"/>
    <w:rsid w:val="3F4643A3"/>
    <w:rsid w:val="3F4B08A0"/>
    <w:rsid w:val="3F7C3208"/>
    <w:rsid w:val="3FAB3EFB"/>
    <w:rsid w:val="3FFD02C3"/>
    <w:rsid w:val="4071000B"/>
    <w:rsid w:val="408E2A02"/>
    <w:rsid w:val="40F34CBE"/>
    <w:rsid w:val="411246CC"/>
    <w:rsid w:val="411B580C"/>
    <w:rsid w:val="41720FB5"/>
    <w:rsid w:val="41B66084"/>
    <w:rsid w:val="41E07D3E"/>
    <w:rsid w:val="42876CE2"/>
    <w:rsid w:val="428E4701"/>
    <w:rsid w:val="42D36040"/>
    <w:rsid w:val="42F869F2"/>
    <w:rsid w:val="43AD6589"/>
    <w:rsid w:val="44B813D4"/>
    <w:rsid w:val="44C45313"/>
    <w:rsid w:val="44E6598E"/>
    <w:rsid w:val="44F70EBD"/>
    <w:rsid w:val="45042FAA"/>
    <w:rsid w:val="4507013A"/>
    <w:rsid w:val="455C1937"/>
    <w:rsid w:val="458F7E0C"/>
    <w:rsid w:val="459B600B"/>
    <w:rsid w:val="46047F8E"/>
    <w:rsid w:val="461A28EF"/>
    <w:rsid w:val="466A72CE"/>
    <w:rsid w:val="46975DF4"/>
    <w:rsid w:val="47060224"/>
    <w:rsid w:val="472B0583"/>
    <w:rsid w:val="4766461F"/>
    <w:rsid w:val="477766D9"/>
    <w:rsid w:val="477C40B7"/>
    <w:rsid w:val="478461EE"/>
    <w:rsid w:val="48194A85"/>
    <w:rsid w:val="48495DFF"/>
    <w:rsid w:val="48575D8F"/>
    <w:rsid w:val="489565B3"/>
    <w:rsid w:val="48A13DC8"/>
    <w:rsid w:val="48AD4E73"/>
    <w:rsid w:val="48B337FF"/>
    <w:rsid w:val="48B70D11"/>
    <w:rsid w:val="48EB7FCA"/>
    <w:rsid w:val="49086CBA"/>
    <w:rsid w:val="49316F70"/>
    <w:rsid w:val="493368FD"/>
    <w:rsid w:val="49347C3B"/>
    <w:rsid w:val="49365E0F"/>
    <w:rsid w:val="49B02E7D"/>
    <w:rsid w:val="49B31F01"/>
    <w:rsid w:val="49BB4089"/>
    <w:rsid w:val="49C97DEE"/>
    <w:rsid w:val="49DB109C"/>
    <w:rsid w:val="4A1A2C2A"/>
    <w:rsid w:val="4A2420E4"/>
    <w:rsid w:val="4A352F2C"/>
    <w:rsid w:val="4A433A00"/>
    <w:rsid w:val="4A886551"/>
    <w:rsid w:val="4A914D76"/>
    <w:rsid w:val="4AAD1308"/>
    <w:rsid w:val="4AD82C70"/>
    <w:rsid w:val="4B050440"/>
    <w:rsid w:val="4B6D0130"/>
    <w:rsid w:val="4B926BE7"/>
    <w:rsid w:val="4BBE0A90"/>
    <w:rsid w:val="4BDD7BA7"/>
    <w:rsid w:val="4CBC7AF3"/>
    <w:rsid w:val="4D8D33B6"/>
    <w:rsid w:val="4DC64B62"/>
    <w:rsid w:val="4DE312D8"/>
    <w:rsid w:val="4DF94F37"/>
    <w:rsid w:val="4E3E6DEE"/>
    <w:rsid w:val="4F1801C5"/>
    <w:rsid w:val="4F1815D8"/>
    <w:rsid w:val="4F312689"/>
    <w:rsid w:val="4FA17635"/>
    <w:rsid w:val="4FBE7097"/>
    <w:rsid w:val="503F15BF"/>
    <w:rsid w:val="50855379"/>
    <w:rsid w:val="516701F0"/>
    <w:rsid w:val="516E5741"/>
    <w:rsid w:val="51994ECA"/>
    <w:rsid w:val="52154F6C"/>
    <w:rsid w:val="522B75E8"/>
    <w:rsid w:val="52CB2081"/>
    <w:rsid w:val="52E01E33"/>
    <w:rsid w:val="52EA504C"/>
    <w:rsid w:val="52EF06B7"/>
    <w:rsid w:val="53091D0F"/>
    <w:rsid w:val="5373420A"/>
    <w:rsid w:val="53B31FFA"/>
    <w:rsid w:val="542B0171"/>
    <w:rsid w:val="54F2041B"/>
    <w:rsid w:val="54FF03D4"/>
    <w:rsid w:val="55320F1C"/>
    <w:rsid w:val="554C53C5"/>
    <w:rsid w:val="559F537E"/>
    <w:rsid w:val="55E5390A"/>
    <w:rsid w:val="560D34CE"/>
    <w:rsid w:val="568E6439"/>
    <w:rsid w:val="56D737F9"/>
    <w:rsid w:val="56E218A8"/>
    <w:rsid w:val="570E17B8"/>
    <w:rsid w:val="57131414"/>
    <w:rsid w:val="571F09D2"/>
    <w:rsid w:val="57932A23"/>
    <w:rsid w:val="581770D7"/>
    <w:rsid w:val="58374347"/>
    <w:rsid w:val="58457CD0"/>
    <w:rsid w:val="585711A2"/>
    <w:rsid w:val="58C92183"/>
    <w:rsid w:val="59277154"/>
    <w:rsid w:val="593A20E1"/>
    <w:rsid w:val="59771406"/>
    <w:rsid w:val="598A1C1A"/>
    <w:rsid w:val="59B212B6"/>
    <w:rsid w:val="59E446EB"/>
    <w:rsid w:val="5A0370DE"/>
    <w:rsid w:val="5A0606CA"/>
    <w:rsid w:val="5A0614BF"/>
    <w:rsid w:val="5A3B14EF"/>
    <w:rsid w:val="5AB242ED"/>
    <w:rsid w:val="5AC74DF8"/>
    <w:rsid w:val="5ADF17A9"/>
    <w:rsid w:val="5B2630E4"/>
    <w:rsid w:val="5B751975"/>
    <w:rsid w:val="5B772776"/>
    <w:rsid w:val="5BAD7C06"/>
    <w:rsid w:val="5BB81099"/>
    <w:rsid w:val="5BDE576D"/>
    <w:rsid w:val="5C280A4D"/>
    <w:rsid w:val="5D040FCE"/>
    <w:rsid w:val="5D236E89"/>
    <w:rsid w:val="5D4D5F01"/>
    <w:rsid w:val="5D6515BE"/>
    <w:rsid w:val="5D7B5F87"/>
    <w:rsid w:val="5D870C6B"/>
    <w:rsid w:val="5DDD28A5"/>
    <w:rsid w:val="5E053ECD"/>
    <w:rsid w:val="5E240CCF"/>
    <w:rsid w:val="5E4C4C10"/>
    <w:rsid w:val="5E68756F"/>
    <w:rsid w:val="5E7F0E92"/>
    <w:rsid w:val="5E922FD2"/>
    <w:rsid w:val="5EA80A59"/>
    <w:rsid w:val="5EB620AD"/>
    <w:rsid w:val="5ECD7C67"/>
    <w:rsid w:val="5F120CCD"/>
    <w:rsid w:val="5F4132BE"/>
    <w:rsid w:val="5F544D41"/>
    <w:rsid w:val="5F787767"/>
    <w:rsid w:val="5FAA6092"/>
    <w:rsid w:val="5FF94530"/>
    <w:rsid w:val="600F2268"/>
    <w:rsid w:val="601B5081"/>
    <w:rsid w:val="60BA368F"/>
    <w:rsid w:val="61424EA8"/>
    <w:rsid w:val="6171137E"/>
    <w:rsid w:val="620F26F9"/>
    <w:rsid w:val="621D05DD"/>
    <w:rsid w:val="626C7A56"/>
    <w:rsid w:val="6300246C"/>
    <w:rsid w:val="630C5CCA"/>
    <w:rsid w:val="632704EF"/>
    <w:rsid w:val="63452FA9"/>
    <w:rsid w:val="6356208C"/>
    <w:rsid w:val="635E5215"/>
    <w:rsid w:val="63604CB9"/>
    <w:rsid w:val="638559B0"/>
    <w:rsid w:val="63C3663B"/>
    <w:rsid w:val="644F42C7"/>
    <w:rsid w:val="64D92503"/>
    <w:rsid w:val="64E536C8"/>
    <w:rsid w:val="65366409"/>
    <w:rsid w:val="655C559A"/>
    <w:rsid w:val="65C5024C"/>
    <w:rsid w:val="65C5572A"/>
    <w:rsid w:val="65D26511"/>
    <w:rsid w:val="65F17A91"/>
    <w:rsid w:val="66052E26"/>
    <w:rsid w:val="660E452A"/>
    <w:rsid w:val="66172B3B"/>
    <w:rsid w:val="6646463A"/>
    <w:rsid w:val="664967D6"/>
    <w:rsid w:val="666A19E3"/>
    <w:rsid w:val="66717623"/>
    <w:rsid w:val="66890C0F"/>
    <w:rsid w:val="66A00B1A"/>
    <w:rsid w:val="671F493B"/>
    <w:rsid w:val="675A5CEE"/>
    <w:rsid w:val="6771251F"/>
    <w:rsid w:val="67833806"/>
    <w:rsid w:val="678D0D6C"/>
    <w:rsid w:val="67912D2E"/>
    <w:rsid w:val="67CE5306"/>
    <w:rsid w:val="67E66902"/>
    <w:rsid w:val="68656D1C"/>
    <w:rsid w:val="68B8495E"/>
    <w:rsid w:val="68BD7FAB"/>
    <w:rsid w:val="69044CCB"/>
    <w:rsid w:val="693A62EC"/>
    <w:rsid w:val="695503E5"/>
    <w:rsid w:val="695E6E70"/>
    <w:rsid w:val="696F7727"/>
    <w:rsid w:val="69761B48"/>
    <w:rsid w:val="69826F10"/>
    <w:rsid w:val="69A00347"/>
    <w:rsid w:val="69F84AD5"/>
    <w:rsid w:val="6A291D77"/>
    <w:rsid w:val="6A294057"/>
    <w:rsid w:val="6A311144"/>
    <w:rsid w:val="6A826D0C"/>
    <w:rsid w:val="6AA95198"/>
    <w:rsid w:val="6AC978EB"/>
    <w:rsid w:val="6AFE0FD5"/>
    <w:rsid w:val="6B363DC9"/>
    <w:rsid w:val="6B770B4F"/>
    <w:rsid w:val="6BB35FF6"/>
    <w:rsid w:val="6C1765A4"/>
    <w:rsid w:val="6C3F19FF"/>
    <w:rsid w:val="6C3F4EF1"/>
    <w:rsid w:val="6C520153"/>
    <w:rsid w:val="6C83461C"/>
    <w:rsid w:val="6D2A1711"/>
    <w:rsid w:val="6D2C2012"/>
    <w:rsid w:val="6D465AD5"/>
    <w:rsid w:val="6D47061C"/>
    <w:rsid w:val="6D612C36"/>
    <w:rsid w:val="6DAC7479"/>
    <w:rsid w:val="6DF370C1"/>
    <w:rsid w:val="6E2208D9"/>
    <w:rsid w:val="6E3178C0"/>
    <w:rsid w:val="6E4759B4"/>
    <w:rsid w:val="6E6733A0"/>
    <w:rsid w:val="6E753AC9"/>
    <w:rsid w:val="6EAB3C78"/>
    <w:rsid w:val="6EBE56B6"/>
    <w:rsid w:val="6ECF7E2D"/>
    <w:rsid w:val="6F764825"/>
    <w:rsid w:val="6F7E0BF8"/>
    <w:rsid w:val="6FC42292"/>
    <w:rsid w:val="6FE5761E"/>
    <w:rsid w:val="6FFA5CC0"/>
    <w:rsid w:val="70241CE7"/>
    <w:rsid w:val="705A492B"/>
    <w:rsid w:val="70B054D2"/>
    <w:rsid w:val="70E138DD"/>
    <w:rsid w:val="713056CE"/>
    <w:rsid w:val="71435060"/>
    <w:rsid w:val="715F193C"/>
    <w:rsid w:val="71B804AF"/>
    <w:rsid w:val="71B92164"/>
    <w:rsid w:val="71BD5126"/>
    <w:rsid w:val="71E04DB2"/>
    <w:rsid w:val="72315F52"/>
    <w:rsid w:val="72380C91"/>
    <w:rsid w:val="72912A35"/>
    <w:rsid w:val="72933FAE"/>
    <w:rsid w:val="72FC3A72"/>
    <w:rsid w:val="73036065"/>
    <w:rsid w:val="73194E17"/>
    <w:rsid w:val="73247AB1"/>
    <w:rsid w:val="73610D05"/>
    <w:rsid w:val="737E32EA"/>
    <w:rsid w:val="741C2FF0"/>
    <w:rsid w:val="74207BDF"/>
    <w:rsid w:val="743A788B"/>
    <w:rsid w:val="746235FD"/>
    <w:rsid w:val="74704AA1"/>
    <w:rsid w:val="74BB2B5E"/>
    <w:rsid w:val="74FF73E9"/>
    <w:rsid w:val="752A6035"/>
    <w:rsid w:val="75491A51"/>
    <w:rsid w:val="75647827"/>
    <w:rsid w:val="757D656B"/>
    <w:rsid w:val="759F5B15"/>
    <w:rsid w:val="75A3300B"/>
    <w:rsid w:val="75CD4430"/>
    <w:rsid w:val="76105F0C"/>
    <w:rsid w:val="76176FE0"/>
    <w:rsid w:val="762E3465"/>
    <w:rsid w:val="76692FDA"/>
    <w:rsid w:val="766E7E14"/>
    <w:rsid w:val="76DE7C83"/>
    <w:rsid w:val="77065E4C"/>
    <w:rsid w:val="773735B1"/>
    <w:rsid w:val="774723A6"/>
    <w:rsid w:val="775533DD"/>
    <w:rsid w:val="775943C5"/>
    <w:rsid w:val="775B68EA"/>
    <w:rsid w:val="775F34D3"/>
    <w:rsid w:val="77667943"/>
    <w:rsid w:val="779F71D5"/>
    <w:rsid w:val="77EF2BD0"/>
    <w:rsid w:val="782B00BB"/>
    <w:rsid w:val="782C7998"/>
    <w:rsid w:val="783E35D1"/>
    <w:rsid w:val="78567579"/>
    <w:rsid w:val="78793308"/>
    <w:rsid w:val="78A334D8"/>
    <w:rsid w:val="78AF121B"/>
    <w:rsid w:val="78B402A3"/>
    <w:rsid w:val="791D52BE"/>
    <w:rsid w:val="793C4C56"/>
    <w:rsid w:val="795F3706"/>
    <w:rsid w:val="7975290A"/>
    <w:rsid w:val="797D719C"/>
    <w:rsid w:val="799D4020"/>
    <w:rsid w:val="79B53B29"/>
    <w:rsid w:val="79CF4143"/>
    <w:rsid w:val="7A8E5211"/>
    <w:rsid w:val="7AA3348F"/>
    <w:rsid w:val="7AA50366"/>
    <w:rsid w:val="7AEA7832"/>
    <w:rsid w:val="7B022DCE"/>
    <w:rsid w:val="7B086666"/>
    <w:rsid w:val="7B355345"/>
    <w:rsid w:val="7B6A606C"/>
    <w:rsid w:val="7B825CBD"/>
    <w:rsid w:val="7C9937EB"/>
    <w:rsid w:val="7CFB256C"/>
    <w:rsid w:val="7D2A53A6"/>
    <w:rsid w:val="7D2F7F78"/>
    <w:rsid w:val="7D4E1AA1"/>
    <w:rsid w:val="7D5B587B"/>
    <w:rsid w:val="7D666919"/>
    <w:rsid w:val="7D6774DC"/>
    <w:rsid w:val="7D685393"/>
    <w:rsid w:val="7D7817E9"/>
    <w:rsid w:val="7DA63EE4"/>
    <w:rsid w:val="7DF10ED8"/>
    <w:rsid w:val="7DFF5F32"/>
    <w:rsid w:val="7E2122B0"/>
    <w:rsid w:val="7E507FA2"/>
    <w:rsid w:val="7E667BD9"/>
    <w:rsid w:val="7E694F12"/>
    <w:rsid w:val="7EBB7543"/>
    <w:rsid w:val="7EC564AB"/>
    <w:rsid w:val="7ECB430D"/>
    <w:rsid w:val="7EF32DA5"/>
    <w:rsid w:val="7F0B3ECA"/>
    <w:rsid w:val="7F330CBF"/>
    <w:rsid w:val="7F4D29CA"/>
    <w:rsid w:val="7F8F26EA"/>
    <w:rsid w:val="7FEB046D"/>
    <w:rsid w:val="7FEC5437"/>
    <w:rsid w:val="7FED3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caption"/>
    <w:basedOn w:val="1"/>
    <w:next w:val="1"/>
    <w:qFormat/>
    <w:uiPriority w:val="0"/>
    <w:rPr>
      <w:rFonts w:ascii="Arial" w:hAnsi="Arial" w:eastAsia="黑体" w:cs="Arial"/>
      <w:sz w:val="20"/>
    </w:rPr>
  </w:style>
  <w:style w:type="paragraph" w:styleId="7">
    <w:name w:val="annotation text"/>
    <w:basedOn w:val="1"/>
    <w:link w:val="56"/>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1"/>
    <w:unhideWhenUsed/>
    <w:qFormat/>
    <w:uiPriority w:val="99"/>
    <w:pPr>
      <w:spacing w:after="120"/>
    </w:pPr>
  </w:style>
  <w:style w:type="paragraph" w:styleId="9">
    <w:name w:val="Body Text Indent"/>
    <w:basedOn w:val="1"/>
    <w:next w:val="10"/>
    <w:qFormat/>
    <w:uiPriority w:val="0"/>
    <w:pPr>
      <w:adjustRightInd w:val="0"/>
      <w:spacing w:after="120" w:line="360" w:lineRule="atLeast"/>
      <w:ind w:left="420" w:leftChars="200"/>
      <w:jc w:val="left"/>
      <w:textAlignment w:val="baseline"/>
    </w:pPr>
    <w:rPr>
      <w:sz w:val="24"/>
    </w:rPr>
  </w:style>
  <w:style w:type="paragraph" w:styleId="10">
    <w:name w:val="envelope return"/>
    <w:basedOn w:val="1"/>
    <w:unhideWhenUsed/>
    <w:qFormat/>
    <w:uiPriority w:val="99"/>
    <w:pPr>
      <w:snapToGrid w:val="0"/>
    </w:pPr>
    <w:rPr>
      <w:rFonts w:ascii="Arial" w:hAnsi="Arial"/>
    </w:rPr>
  </w:style>
  <w:style w:type="paragraph" w:styleId="11">
    <w:name w:val="Block Text"/>
    <w:basedOn w:val="1"/>
    <w:unhideWhenUsed/>
    <w:qFormat/>
    <w:uiPriority w:val="99"/>
    <w:pPr>
      <w:adjustRightInd w:val="0"/>
      <w:spacing w:line="300" w:lineRule="auto"/>
      <w:ind w:left="958" w:right="-120" w:rightChars="-120"/>
    </w:pPr>
    <w:rPr>
      <w:rFonts w:hint="eastAsia"/>
      <w:sz w:val="28"/>
    </w:rPr>
  </w:style>
  <w:style w:type="paragraph" w:styleId="12">
    <w:name w:val="Plain Text"/>
    <w:basedOn w:val="1"/>
    <w:qFormat/>
    <w:uiPriority w:val="0"/>
    <w:rPr>
      <w:sz w:val="24"/>
    </w:rPr>
  </w:style>
  <w:style w:type="paragraph" w:styleId="13">
    <w:name w:val="Date"/>
    <w:basedOn w:val="1"/>
    <w:next w:val="1"/>
    <w:unhideWhenUsed/>
    <w:qFormat/>
    <w:uiPriority w:val="99"/>
    <w:pPr>
      <w:ind w:left="100" w:leftChars="2500"/>
    </w:pPr>
  </w:style>
  <w:style w:type="paragraph" w:styleId="14">
    <w:name w:val="Balloon Text"/>
    <w:basedOn w:val="1"/>
    <w:link w:val="57"/>
    <w:qFormat/>
    <w:uiPriority w:val="0"/>
    <w:rPr>
      <w:rFonts w:ascii="宋体"/>
      <w:sz w:val="18"/>
      <w:szCs w:val="18"/>
    </w:rPr>
  </w:style>
  <w:style w:type="paragraph" w:styleId="15">
    <w:name w:val="footer"/>
    <w:basedOn w:val="1"/>
    <w:link w:val="40"/>
    <w:qFormat/>
    <w:uiPriority w:val="99"/>
    <w:pPr>
      <w:tabs>
        <w:tab w:val="center" w:pos="4153"/>
        <w:tab w:val="right" w:pos="8306"/>
      </w:tabs>
      <w:snapToGrid w:val="0"/>
      <w:jc w:val="left"/>
    </w:pPr>
    <w:rPr>
      <w:sz w:val="18"/>
      <w:szCs w:val="18"/>
    </w:rPr>
  </w:style>
  <w:style w:type="paragraph" w:styleId="16">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8">
    <w:name w:val="List"/>
    <w:basedOn w:val="1"/>
    <w:qFormat/>
    <w:uiPriority w:val="0"/>
    <w:pPr>
      <w:ind w:left="420" w:hanging="420"/>
    </w:pPr>
    <w:rPr>
      <w:szCs w:val="20"/>
    </w:rPr>
  </w:style>
  <w:style w:type="paragraph" w:styleId="19">
    <w:name w:val="footnote text"/>
    <w:basedOn w:val="1"/>
    <w:semiHidden/>
    <w:qFormat/>
    <w:uiPriority w:val="99"/>
    <w:pPr>
      <w:snapToGrid w:val="0"/>
      <w:jc w:val="left"/>
    </w:pPr>
    <w:rPr>
      <w:sz w:val="18"/>
      <w:szCs w:val="18"/>
    </w:rPr>
  </w:style>
  <w:style w:type="paragraph" w:styleId="20">
    <w:name w:val="Body Text 2"/>
    <w:basedOn w:val="1"/>
    <w:qFormat/>
    <w:uiPriority w:val="0"/>
    <w:pPr>
      <w:spacing w:before="100" w:beforeAutospacing="1" w:after="100" w:afterAutospacing="1"/>
      <w:jc w:val="left"/>
    </w:pPr>
    <w:rPr>
      <w:rFonts w:ascii="宋体" w:hAnsi="宋体"/>
      <w:kern w:val="0"/>
      <w:sz w:val="24"/>
    </w:rPr>
  </w:style>
  <w:style w:type="paragraph" w:styleId="21">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2">
    <w:name w:val="Normal (Web)"/>
    <w:basedOn w:val="1"/>
    <w:qFormat/>
    <w:uiPriority w:val="99"/>
    <w:rPr>
      <w:rFonts w:ascii="Calibri" w:hAnsi="Calibri"/>
      <w:sz w:val="24"/>
      <w:szCs w:val="24"/>
    </w:rPr>
  </w:style>
  <w:style w:type="paragraph" w:styleId="23">
    <w:name w:val="Title"/>
    <w:basedOn w:val="1"/>
    <w:next w:val="1"/>
    <w:link w:val="63"/>
    <w:qFormat/>
    <w:uiPriority w:val="0"/>
    <w:pPr>
      <w:widowControl w:val="0"/>
      <w:spacing w:before="240" w:after="60"/>
      <w:jc w:val="center"/>
      <w:outlineLvl w:val="0"/>
    </w:pPr>
    <w:rPr>
      <w:rFonts w:ascii="Cambria" w:hAnsi="Cambria"/>
      <w:b/>
      <w:bCs/>
      <w:sz w:val="32"/>
      <w:szCs w:val="32"/>
    </w:rPr>
  </w:style>
  <w:style w:type="paragraph" w:styleId="24">
    <w:name w:val="Body Text First Indent"/>
    <w:basedOn w:val="8"/>
    <w:next w:val="25"/>
    <w:qFormat/>
    <w:uiPriority w:val="0"/>
    <w:pPr>
      <w:ind w:firstLine="420" w:firstLineChars="100"/>
    </w:pPr>
    <w:rPr>
      <w:rFonts w:ascii="宋体"/>
      <w:kern w:val="0"/>
      <w:sz w:val="34"/>
    </w:rPr>
  </w:style>
  <w:style w:type="paragraph" w:styleId="25">
    <w:name w:val="Body Text First Indent 2"/>
    <w:basedOn w:val="9"/>
    <w:unhideWhenUsed/>
    <w:qFormat/>
    <w:uiPriority w:val="99"/>
    <w:pPr>
      <w:ind w:firstLine="420" w:firstLineChars="200"/>
    </w:p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basedOn w:val="28"/>
    <w:qFormat/>
    <w:uiPriority w:val="0"/>
  </w:style>
  <w:style w:type="character" w:styleId="30">
    <w:name w:val="FollowedHyperlink"/>
    <w:basedOn w:val="28"/>
    <w:qFormat/>
    <w:uiPriority w:val="0"/>
    <w:rPr>
      <w:color w:val="000000"/>
      <w:u w:val="none"/>
    </w:rPr>
  </w:style>
  <w:style w:type="character" w:styleId="31">
    <w:name w:val="Emphasis"/>
    <w:basedOn w:val="28"/>
    <w:qFormat/>
    <w:uiPriority w:val="0"/>
  </w:style>
  <w:style w:type="character" w:styleId="32">
    <w:name w:val="Hyperlink"/>
    <w:basedOn w:val="28"/>
    <w:qFormat/>
    <w:uiPriority w:val="0"/>
    <w:rPr>
      <w:color w:val="000000"/>
      <w:u w:val="none"/>
    </w:rPr>
  </w:style>
  <w:style w:type="character" w:styleId="33">
    <w:name w:val="annotation reference"/>
    <w:basedOn w:val="28"/>
    <w:unhideWhenUsed/>
    <w:qFormat/>
    <w:uiPriority w:val="99"/>
    <w:rPr>
      <w:sz w:val="21"/>
      <w:szCs w:val="21"/>
    </w:rPr>
  </w:style>
  <w:style w:type="paragraph" w:customStyle="1" w:styleId="34">
    <w:name w:val="style4"/>
    <w:basedOn w:val="1"/>
    <w:next w:val="35"/>
    <w:qFormat/>
    <w:uiPriority w:val="0"/>
    <w:pPr>
      <w:widowControl/>
      <w:spacing w:before="280" w:after="280"/>
    </w:pPr>
    <w:rPr>
      <w:rFonts w:ascii="宋体"/>
      <w:sz w:val="18"/>
    </w:rPr>
  </w:style>
  <w:style w:type="paragraph" w:customStyle="1" w:styleId="35">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6">
    <w:name w:val="标题 1 Char"/>
    <w:basedOn w:val="28"/>
    <w:link w:val="2"/>
    <w:qFormat/>
    <w:uiPriority w:val="9"/>
    <w:rPr>
      <w:rFonts w:ascii="宋体" w:hAnsi="宋体" w:cs="宋体"/>
      <w:b/>
      <w:bCs/>
      <w:kern w:val="36"/>
      <w:sz w:val="48"/>
      <w:szCs w:val="48"/>
    </w:rPr>
  </w:style>
  <w:style w:type="paragraph" w:customStyle="1" w:styleId="37">
    <w:name w:val="表格文字"/>
    <w:basedOn w:val="1"/>
    <w:next w:val="8"/>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28"/>
    <w:link w:val="16"/>
    <w:qFormat/>
    <w:uiPriority w:val="0"/>
    <w:rPr>
      <w:kern w:val="2"/>
      <w:sz w:val="18"/>
      <w:szCs w:val="18"/>
    </w:rPr>
  </w:style>
  <w:style w:type="character" w:customStyle="1" w:styleId="40">
    <w:name w:val="页脚 Char"/>
    <w:basedOn w:val="28"/>
    <w:link w:val="15"/>
    <w:qFormat/>
    <w:uiPriority w:val="0"/>
    <w:rPr>
      <w:kern w:val="2"/>
      <w:sz w:val="18"/>
      <w:szCs w:val="18"/>
    </w:rPr>
  </w:style>
  <w:style w:type="character" w:customStyle="1" w:styleId="41">
    <w:name w:val="red"/>
    <w:basedOn w:val="28"/>
    <w:qFormat/>
    <w:uiPriority w:val="0"/>
    <w:rPr>
      <w:color w:val="CC0000"/>
    </w:rPr>
  </w:style>
  <w:style w:type="character" w:customStyle="1" w:styleId="42">
    <w:name w:val="red1"/>
    <w:basedOn w:val="28"/>
    <w:qFormat/>
    <w:uiPriority w:val="0"/>
    <w:rPr>
      <w:color w:val="FF0000"/>
      <w:sz w:val="18"/>
      <w:szCs w:val="18"/>
    </w:rPr>
  </w:style>
  <w:style w:type="character" w:customStyle="1" w:styleId="43">
    <w:name w:val="red2"/>
    <w:basedOn w:val="28"/>
    <w:qFormat/>
    <w:uiPriority w:val="0"/>
    <w:rPr>
      <w:color w:val="FF0000"/>
      <w:sz w:val="18"/>
      <w:szCs w:val="18"/>
    </w:rPr>
  </w:style>
  <w:style w:type="character" w:customStyle="1" w:styleId="44">
    <w:name w:val="red3"/>
    <w:basedOn w:val="28"/>
    <w:qFormat/>
    <w:uiPriority w:val="0"/>
    <w:rPr>
      <w:color w:val="FF0000"/>
    </w:rPr>
  </w:style>
  <w:style w:type="character" w:customStyle="1" w:styleId="45">
    <w:name w:val="green"/>
    <w:basedOn w:val="28"/>
    <w:qFormat/>
    <w:uiPriority w:val="0"/>
    <w:rPr>
      <w:color w:val="66AE00"/>
      <w:sz w:val="18"/>
      <w:szCs w:val="18"/>
    </w:rPr>
  </w:style>
  <w:style w:type="character" w:customStyle="1" w:styleId="46">
    <w:name w:val="green1"/>
    <w:basedOn w:val="28"/>
    <w:qFormat/>
    <w:uiPriority w:val="0"/>
    <w:rPr>
      <w:color w:val="66AE00"/>
      <w:sz w:val="18"/>
      <w:szCs w:val="18"/>
    </w:rPr>
  </w:style>
  <w:style w:type="character" w:customStyle="1" w:styleId="47">
    <w:name w:val="hover25"/>
    <w:basedOn w:val="28"/>
    <w:qFormat/>
    <w:uiPriority w:val="0"/>
  </w:style>
  <w:style w:type="character" w:customStyle="1" w:styleId="48">
    <w:name w:val="blue"/>
    <w:basedOn w:val="28"/>
    <w:qFormat/>
    <w:uiPriority w:val="0"/>
    <w:rPr>
      <w:color w:val="0371C6"/>
      <w:sz w:val="21"/>
      <w:szCs w:val="21"/>
    </w:rPr>
  </w:style>
  <w:style w:type="character" w:customStyle="1" w:styleId="49">
    <w:name w:val="gb-jt"/>
    <w:basedOn w:val="28"/>
    <w:qFormat/>
    <w:uiPriority w:val="0"/>
  </w:style>
  <w:style w:type="character" w:customStyle="1" w:styleId="50">
    <w:name w:val="right"/>
    <w:basedOn w:val="28"/>
    <w:qFormat/>
    <w:uiPriority w:val="0"/>
    <w:rPr>
      <w:color w:val="999999"/>
      <w:sz w:val="18"/>
      <w:szCs w:val="18"/>
    </w:rPr>
  </w:style>
  <w:style w:type="paragraph" w:customStyle="1" w:styleId="51">
    <w:name w:val="列出段落1"/>
    <w:basedOn w:val="1"/>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qFormat/>
    <w:uiPriority w:val="0"/>
    <w:pPr>
      <w:spacing w:line="360" w:lineRule="auto"/>
      <w:ind w:firstLine="480" w:firstLineChars="200"/>
    </w:pPr>
    <w:rPr>
      <w:rFonts w:ascii="宋体"/>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qFormat/>
    <w:uiPriority w:val="0"/>
    <w:rPr>
      <w:sz w:val="24"/>
    </w:rPr>
  </w:style>
  <w:style w:type="character" w:customStyle="1" w:styleId="56">
    <w:name w:val="批注文字 Char"/>
    <w:basedOn w:val="28"/>
    <w:link w:val="7"/>
    <w:qFormat/>
    <w:uiPriority w:val="99"/>
    <w:rPr>
      <w:rFonts w:ascii="仿宋_GB2312" w:eastAsia="仿宋_GB2312" w:cs="仿宋_GB2312" w:hAnsiTheme="minorHAnsi"/>
      <w:sz w:val="28"/>
      <w:szCs w:val="28"/>
    </w:rPr>
  </w:style>
  <w:style w:type="character" w:customStyle="1" w:styleId="57">
    <w:name w:val="批注框文本 Char"/>
    <w:basedOn w:val="28"/>
    <w:link w:val="14"/>
    <w:qFormat/>
    <w:uiPriority w:val="0"/>
    <w:rPr>
      <w:rFonts w:ascii="宋体" w:hAnsi="Times New Roman"/>
      <w:kern w:val="2"/>
      <w:sz w:val="18"/>
      <w:szCs w:val="18"/>
    </w:rPr>
  </w:style>
  <w:style w:type="character" w:customStyle="1" w:styleId="58">
    <w:name w:val="Unresolved Mention"/>
    <w:basedOn w:val="28"/>
    <w:unhideWhenUsed/>
    <w:qFormat/>
    <w:uiPriority w:val="99"/>
    <w:rPr>
      <w:color w:val="605E5C"/>
      <w:shd w:val="clear" w:color="auto" w:fill="E1DFDD"/>
    </w:rPr>
  </w:style>
  <w:style w:type="character" w:customStyle="1" w:styleId="59">
    <w:name w:val="页脚 字符1"/>
    <w:qFormat/>
    <w:uiPriority w:val="99"/>
    <w:rPr>
      <w:kern w:val="2"/>
      <w:sz w:val="18"/>
    </w:rPr>
  </w:style>
  <w:style w:type="character" w:customStyle="1" w:styleId="60">
    <w:name w:val="页眉 字符"/>
    <w:qFormat/>
    <w:uiPriority w:val="99"/>
    <w:rPr>
      <w:kern w:val="2"/>
      <w:sz w:val="18"/>
    </w:rPr>
  </w:style>
  <w:style w:type="character" w:customStyle="1" w:styleId="61">
    <w:name w:val="标题 Char1"/>
    <w:link w:val="23"/>
    <w:qFormat/>
    <w:uiPriority w:val="0"/>
    <w:rPr>
      <w:rFonts w:ascii="Cambria" w:hAnsi="Cambria"/>
      <w:b/>
      <w:bCs/>
      <w:kern w:val="2"/>
      <w:sz w:val="32"/>
      <w:szCs w:val="32"/>
    </w:rPr>
  </w:style>
  <w:style w:type="paragraph" w:customStyle="1" w:styleId="62">
    <w:name w:val="_Style 47"/>
    <w:basedOn w:val="1"/>
    <w:next w:val="1"/>
    <w:qFormat/>
    <w:uiPriority w:val="39"/>
    <w:pPr>
      <w:widowControl w:val="0"/>
      <w:tabs>
        <w:tab w:val="left" w:pos="840"/>
        <w:tab w:val="right" w:leader="dot" w:pos="8296"/>
      </w:tabs>
    </w:pPr>
  </w:style>
  <w:style w:type="character" w:customStyle="1" w:styleId="63">
    <w:name w:val="标题 Char"/>
    <w:basedOn w:val="28"/>
    <w:link w:val="23"/>
    <w:qFormat/>
    <w:uiPriority w:val="0"/>
    <w:rPr>
      <w:rFonts w:asciiTheme="majorHAnsi" w:hAnsiTheme="majorHAnsi" w:cstheme="majorBidi"/>
      <w:b/>
      <w:bCs/>
      <w:kern w:val="2"/>
      <w:sz w:val="32"/>
      <w:szCs w:val="32"/>
    </w:rPr>
  </w:style>
  <w:style w:type="paragraph" w:customStyle="1" w:styleId="64">
    <w:name w:val="È±Ê¡ÎÄ±¾"/>
    <w:basedOn w:val="1"/>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2"/>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qFormat/>
    <w:uiPriority w:val="72"/>
    <w:pPr>
      <w:widowControl w:val="0"/>
      <w:ind w:left="720"/>
      <w:contextualSpacing/>
    </w:pPr>
    <w:rPr>
      <w:szCs w:val="24"/>
    </w:rPr>
  </w:style>
  <w:style w:type="paragraph" w:customStyle="1" w:styleId="67">
    <w:name w:val="UserStyle_33"/>
    <w:basedOn w:val="1"/>
    <w:qFormat/>
    <w:uiPriority w:val="0"/>
    <w:pPr>
      <w:textAlignment w:val="baseline"/>
    </w:pPr>
    <w:rPr>
      <w:sz w:val="24"/>
      <w:szCs w:val="24"/>
    </w:rPr>
  </w:style>
  <w:style w:type="paragraph" w:customStyle="1" w:styleId="68">
    <w:name w:val="！正文"/>
    <w:basedOn w:val="1"/>
    <w:qFormat/>
    <w:uiPriority w:val="0"/>
    <w:pPr>
      <w:spacing w:line="360" w:lineRule="auto"/>
    </w:pPr>
    <w:rPr>
      <w:kern w:val="0"/>
    </w:rPr>
  </w:style>
  <w:style w:type="paragraph" w:customStyle="1" w:styleId="69">
    <w:name w:val="正文内容"/>
    <w:basedOn w:val="1"/>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qFormat/>
    <w:uiPriority w:val="99"/>
    <w:pPr>
      <w:ind w:firstLine="420" w:firstLineChars="200"/>
    </w:pPr>
  </w:style>
  <w:style w:type="paragraph" w:customStyle="1" w:styleId="71">
    <w:name w:val="样式 首行缩进:  0.74 厘米"/>
    <w:basedOn w:val="1"/>
    <w:qFormat/>
    <w:uiPriority w:val="0"/>
    <w:pPr>
      <w:ind w:firstLine="420"/>
    </w:pPr>
    <w:rPr>
      <w:rFonts w:ascii="Arial" w:hAnsi="Arial" w:eastAsia="仿宋_GB2312" w:cs="Arial"/>
      <w:bCs/>
      <w:sz w:val="28"/>
      <w:szCs w:val="28"/>
    </w:rPr>
  </w:style>
  <w:style w:type="character" w:customStyle="1" w:styleId="72">
    <w:name w:val="NormalCharacter"/>
    <w:basedOn w:val="28"/>
    <w:qFormat/>
    <w:uiPriority w:val="0"/>
  </w:style>
  <w:style w:type="paragraph" w:customStyle="1" w:styleId="73">
    <w:name w:val="Table Paragraph"/>
    <w:basedOn w:val="1"/>
    <w:unhideWhenUsed/>
    <w:qFormat/>
    <w:uiPriority w:val="1"/>
    <w:rPr>
      <w:rFonts w:hint="eastAsia" w:hAnsi="宋体"/>
      <w:lang w:val="zh-CN"/>
    </w:rPr>
  </w:style>
  <w:style w:type="paragraph" w:customStyle="1" w:styleId="74">
    <w:name w:val="cjk"/>
    <w:qFormat/>
    <w:uiPriority w:val="0"/>
    <w:rPr>
      <w:rFonts w:ascii="宋体" w:hAnsi="宋体" w:eastAsia="宋体" w:cs="宋体"/>
      <w:sz w:val="24"/>
      <w:szCs w:val="24"/>
      <w:lang w:val="en-US" w:eastAsia="zh-CN" w:bidi="ar-SA"/>
    </w:rPr>
  </w:style>
  <w:style w:type="paragraph" w:customStyle="1" w:styleId="75">
    <w:name w:val="Body Text First Indent"/>
    <w:basedOn w:val="8"/>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25</Pages>
  <Words>6075</Words>
  <Characters>6457</Characters>
  <Lines>30</Lines>
  <Paragraphs>63</Paragraphs>
  <TotalTime>198</TotalTime>
  <ScaleCrop>false</ScaleCrop>
  <LinksUpToDate>false</LinksUpToDate>
  <CharactersWithSpaces>6681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WPS_1658882146</cp:lastModifiedBy>
  <cp:lastPrinted>2025-04-03T08:12:00Z</cp:lastPrinted>
  <dcterms:modified xsi:type="dcterms:W3CDTF">2025-04-14T09:33:09Z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955F7207ED494C0F85B3633EC4D4E10C_13</vt:lpwstr>
  </property>
  <property fmtid="{D5CDD505-2E9C-101B-9397-08002B2CF9AE}" pid="4" name="KSOTemplateDocerSaveRecord">
    <vt:lpwstr>eyJoZGlkIjoiMDMwZGM3YTgwNjYzYTQ1M2VjNjE1YTdkNjhkNWNhODciLCJ1c2VySWQiOiIxMzg5MjExMjI0In0=</vt:lpwstr>
  </property>
</Properties>
</file>