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bookmarkStart w:id="0" w:name="_GoBack"/>
      <w:bookmarkEnd w:id="0"/>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1"/>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24"/>
                <w:szCs w:val="24"/>
                <w:highlight w:val="none"/>
                <w:lang w:val="en-US" w:eastAsia="zh-CN"/>
              </w:rPr>
            </w:pPr>
            <w:r>
              <w:rPr>
                <w:rFonts w:hint="default" w:ascii="Times New Roman" w:hAnsi="Times New Roman" w:eastAsia="仿宋_GB2312" w:cs="Times New Roman"/>
                <w:b/>
                <w:color w:val="000000"/>
                <w:sz w:val="24"/>
                <w:szCs w:val="24"/>
                <w:highlight w:val="none"/>
                <w:lang w:val="en-US" w:eastAsia="zh-CN"/>
              </w:rPr>
              <w:t>许襄长输综合供热管网建设项目占用北汝河湿地公园及颍河湿地生物多样性影响评价报告编制</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3DBFEAA">
      <w:pPr>
        <w:pStyle w:val="3"/>
        <w:pageBreakBefore w:val="0"/>
        <w:kinsoku/>
        <w:wordWrap/>
        <w:overflowPunct/>
        <w:topLinePunct w:val="0"/>
        <w:bidi w:val="0"/>
        <w:spacing w:line="52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303E2E8">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58B4DC21">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5A4471A">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DDF1C21">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73E39B01">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0DE7B77D">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5A0BED1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附件二</w:t>
      </w:r>
    </w:p>
    <w:p w14:paraId="0B3EC263">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14:paraId="6DD90E1A">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价格分值：</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D8F70C0">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u w:val="single"/>
                <w:lang w:val="zh-CN"/>
              </w:rPr>
            </w:pPr>
            <w:r>
              <w:rPr>
                <w:rFonts w:hint="default" w:ascii="Times New Roman" w:hAnsi="Times New Roman" w:eastAsia="仿宋_GB2312" w:cs="Times New Roman"/>
                <w:sz w:val="32"/>
                <w:szCs w:val="32"/>
                <w:highlight w:val="none"/>
                <w:lang w:val="en-US" w:eastAsia="zh-CN"/>
              </w:rPr>
              <w:t>业绩</w:t>
            </w:r>
            <w:r>
              <w:rPr>
                <w:rFonts w:hint="default" w:ascii="Times New Roman" w:hAnsi="Times New Roman" w:eastAsia="仿宋_GB2312" w:cs="Times New Roman"/>
                <w:sz w:val="32"/>
                <w:szCs w:val="32"/>
                <w:highlight w:val="none"/>
                <w:lang w:val="zh-CN"/>
              </w:rPr>
              <w:t>部分：</w:t>
            </w:r>
            <w:r>
              <w:rPr>
                <w:rFonts w:hint="default" w:ascii="Times New Roman" w:hAnsi="Times New Roman" w:eastAsia="仿宋_GB2312" w:cs="Times New Roman"/>
                <w:sz w:val="32"/>
                <w:szCs w:val="32"/>
                <w:highlight w:val="none"/>
                <w:u w:val="single"/>
                <w:lang w:val="en-US" w:eastAsia="zh-CN"/>
              </w:rPr>
              <w:t xml:space="preserve"> 30</w:t>
            </w:r>
            <w:r>
              <w:rPr>
                <w:rFonts w:hint="default" w:ascii="Times New Roman" w:hAnsi="Times New Roman" w:eastAsia="仿宋_GB2312" w:cs="Times New Roman"/>
                <w:sz w:val="32"/>
                <w:szCs w:val="32"/>
                <w:highlight w:val="none"/>
                <w:u w:val="single"/>
                <w:lang w:val="zh-CN"/>
              </w:rPr>
              <w:t>分</w:t>
            </w:r>
          </w:p>
          <w:p w14:paraId="6C8199B4">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部分：</w:t>
            </w:r>
            <w:r>
              <w:rPr>
                <w:rFonts w:hint="default" w:ascii="Times New Roman" w:hAnsi="Times New Roman" w:eastAsia="仿宋_GB2312" w:cs="Times New Roman"/>
                <w:i w:val="0"/>
                <w:iCs w:val="0"/>
                <w:sz w:val="32"/>
                <w:szCs w:val="32"/>
                <w:highlight w:val="none"/>
                <w:u w:val="single"/>
                <w:lang w:val="en-US" w:eastAsia="zh-CN"/>
              </w:rPr>
              <w:t>30分</w:t>
            </w:r>
          </w:p>
          <w:p w14:paraId="1C1A99A1">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zh-CN" w:eastAsia="zh-CN"/>
              </w:rPr>
              <w:t>项目人员部分：</w:t>
            </w:r>
            <w:r>
              <w:rPr>
                <w:rFonts w:hint="default" w:ascii="Times New Roman" w:hAnsi="Times New Roman" w:eastAsia="仿宋_GB2312" w:cs="Times New Roman"/>
                <w:sz w:val="32"/>
                <w:szCs w:val="32"/>
                <w:highlight w:val="none"/>
                <w:u w:val="single"/>
                <w:lang w:val="en-US" w:eastAsia="zh-CN"/>
              </w:rPr>
              <w:t xml:space="preserve">10分 </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5592B0AC">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评审项</w:t>
            </w:r>
          </w:p>
        </w:tc>
        <w:tc>
          <w:tcPr>
            <w:tcW w:w="1405" w:type="dxa"/>
            <w:noWrap w:val="0"/>
            <w:tcMar>
              <w:top w:w="0" w:type="dxa"/>
              <w:left w:w="0" w:type="dxa"/>
              <w:bottom w:w="0" w:type="dxa"/>
              <w:right w:w="0" w:type="dxa"/>
            </w:tcMar>
            <w:vAlign w:val="center"/>
          </w:tcPr>
          <w:p w14:paraId="2CFCAA16">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评分因素</w:t>
            </w:r>
          </w:p>
        </w:tc>
        <w:tc>
          <w:tcPr>
            <w:tcW w:w="6786" w:type="dxa"/>
            <w:noWrap w:val="0"/>
            <w:tcMar>
              <w:top w:w="0" w:type="dxa"/>
              <w:left w:w="0" w:type="dxa"/>
              <w:bottom w:w="0" w:type="dxa"/>
              <w:right w:w="0" w:type="dxa"/>
            </w:tcMar>
            <w:vAlign w:val="center"/>
          </w:tcPr>
          <w:p w14:paraId="41DB0DAF">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评标标准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2EA0FCAC">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p w14:paraId="7152F76E">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390CD85F">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1D5724C2">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eastAsia="zh-CN"/>
              </w:rPr>
              <w:t>投标报价得分=（基准价/</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zh-CN" w:eastAsia="zh-CN"/>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zh-CN" w:eastAsia="zh-CN"/>
              </w:rPr>
              <w:t>分。满足招标文件要求的</w:t>
            </w:r>
            <w:r>
              <w:rPr>
                <w:rFonts w:hint="default" w:ascii="Times New Roman" w:hAnsi="Times New Roman" w:eastAsia="仿宋_GB2312" w:cs="Times New Roman"/>
                <w:sz w:val="32"/>
                <w:szCs w:val="32"/>
                <w:highlight w:val="none"/>
                <w:lang w:val="en-US" w:eastAsia="zh-CN"/>
              </w:rPr>
              <w:t>所</w:t>
            </w:r>
            <w:r>
              <w:rPr>
                <w:rFonts w:hint="default" w:ascii="Times New Roman" w:hAnsi="Times New Roman" w:eastAsia="仿宋_GB2312" w:cs="Times New Roman"/>
                <w:sz w:val="32"/>
                <w:szCs w:val="32"/>
                <w:highlight w:val="none"/>
                <w:lang w:val="zh-CN" w:eastAsia="zh-CN"/>
              </w:rPr>
              <w:t>有</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lang w:val="zh-CN" w:eastAsia="zh-CN"/>
              </w:rPr>
              <w:t>效投标报价中，最低的投标报价为评标基准价。</w:t>
            </w:r>
          </w:p>
        </w:tc>
      </w:tr>
      <w:tr w14:paraId="03A8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08" w:type="dxa"/>
            <w:noWrap w:val="0"/>
            <w:tcMar>
              <w:top w:w="0" w:type="dxa"/>
              <w:left w:w="0" w:type="dxa"/>
              <w:bottom w:w="0" w:type="dxa"/>
              <w:right w:w="0" w:type="dxa"/>
            </w:tcMar>
            <w:vAlign w:val="center"/>
          </w:tcPr>
          <w:p w14:paraId="50E5360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p>
          <w:p w14:paraId="1FF941E7">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6114C9EB">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业绩</w:t>
            </w:r>
          </w:p>
          <w:p w14:paraId="283D764C">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42D369A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color w:val="000000"/>
                <w:sz w:val="32"/>
                <w:szCs w:val="32"/>
                <w:highlight w:val="none"/>
                <w:lang w:val="en-US" w:eastAsia="zh-CN"/>
              </w:rPr>
              <w:t>企业业绩30分。每提供一项企业2021年1月1日以来签订的国家级湿地（公园）生物多样性影响评价报告（生态影响专题报告）合同及相应批复文件得6分；省级湿地（公园）生物多样性影响评价报告（生态影响专题报告）得4分；市级湿地（公园）生物多样性影响评价报告（生态影响专题报告）得2分本项最高得30分。</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5E513F6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服务方案（30分）</w:t>
            </w:r>
          </w:p>
        </w:tc>
        <w:tc>
          <w:tcPr>
            <w:tcW w:w="1405" w:type="dxa"/>
            <w:noWrap w:val="0"/>
            <w:tcMar>
              <w:top w:w="0" w:type="dxa"/>
              <w:left w:w="0" w:type="dxa"/>
              <w:bottom w:w="0" w:type="dxa"/>
              <w:right w:w="0" w:type="dxa"/>
            </w:tcMar>
            <w:vAlign w:val="center"/>
          </w:tcPr>
          <w:p w14:paraId="6B1A1309">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项目服务方案</w:t>
            </w:r>
          </w:p>
          <w:p w14:paraId="18961D9A">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（30分）</w:t>
            </w:r>
          </w:p>
        </w:tc>
        <w:tc>
          <w:tcPr>
            <w:tcW w:w="6786" w:type="dxa"/>
            <w:noWrap w:val="0"/>
            <w:tcMar>
              <w:top w:w="0" w:type="dxa"/>
              <w:left w:w="0" w:type="dxa"/>
              <w:bottom w:w="0" w:type="dxa"/>
              <w:right w:w="0" w:type="dxa"/>
            </w:tcMar>
            <w:vAlign w:val="center"/>
          </w:tcPr>
          <w:p w14:paraId="1052F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服务方案30分。</w:t>
            </w:r>
            <w:r>
              <w:rPr>
                <w:rFonts w:hint="default" w:ascii="Times New Roman" w:hAnsi="Times New Roman" w:eastAsia="仿宋_GB2312" w:cs="Times New Roman"/>
                <w:color w:val="000000"/>
                <w:sz w:val="32"/>
                <w:szCs w:val="32"/>
                <w:highlight w:val="none"/>
                <w:lang w:val="en-US" w:eastAsia="zh-CN"/>
              </w:rPr>
              <w:t>工作方案（10分）：对本项目理解深入、重点突出、工作方案思路清晰、可行，能够保证报告编制工作</w:t>
            </w:r>
            <w:r>
              <w:rPr>
                <w:rFonts w:hint="default" w:ascii="Times New Roman" w:hAnsi="Times New Roman" w:eastAsia="仿宋_GB2312" w:cs="Times New Roman"/>
                <w:color w:val="000000"/>
                <w:sz w:val="32"/>
                <w:szCs w:val="32"/>
                <w:highlight w:val="none"/>
                <w:lang w:val="en-US" w:eastAsia="zh-CN"/>
              </w:rPr>
              <w:t>及后续评审工作</w:t>
            </w:r>
            <w:r>
              <w:rPr>
                <w:rFonts w:hint="default" w:ascii="Times New Roman" w:hAnsi="Times New Roman" w:eastAsia="仿宋_GB2312" w:cs="Times New Roman"/>
                <w:color w:val="000000"/>
                <w:sz w:val="32"/>
                <w:szCs w:val="32"/>
                <w:highlight w:val="none"/>
                <w:lang w:val="en-US" w:eastAsia="zh-CN"/>
              </w:rPr>
              <w:t>按时保质、保量完成。优秀6-10分；良好1-5分；没有不得分。</w:t>
            </w:r>
          </w:p>
          <w:p w14:paraId="0899B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报告编制质量及进度保障措施（10分）：是否制定完善的质量控制方案和程序、执行标准；对项目实施关键节点把握准确，能够严格按计划完成相关工作，能够根据</w:t>
            </w:r>
            <w:r>
              <w:rPr>
                <w:rFonts w:hint="default" w:ascii="Times New Roman" w:hAnsi="Times New Roman" w:eastAsia="仿宋_GB2312" w:cs="Times New Roman"/>
                <w:color w:val="000000"/>
                <w:sz w:val="32"/>
                <w:szCs w:val="32"/>
                <w:highlight w:val="none"/>
                <w:lang w:val="en-US" w:eastAsia="zh-CN"/>
              </w:rPr>
              <w:t>采购人</w:t>
            </w:r>
            <w:r>
              <w:rPr>
                <w:rFonts w:hint="default" w:ascii="Times New Roman" w:hAnsi="Times New Roman" w:eastAsia="仿宋_GB2312" w:cs="Times New Roman"/>
                <w:color w:val="000000"/>
                <w:sz w:val="32"/>
                <w:szCs w:val="32"/>
                <w:highlight w:val="none"/>
                <w:lang w:val="en-US" w:eastAsia="zh-CN"/>
              </w:rPr>
              <w:t>的进度安排报告交付时间</w:t>
            </w:r>
            <w:r>
              <w:rPr>
                <w:rFonts w:hint="default" w:ascii="Times New Roman" w:hAnsi="Times New Roman" w:eastAsia="仿宋_GB2312" w:cs="Times New Roman"/>
                <w:color w:val="000000"/>
                <w:sz w:val="32"/>
                <w:szCs w:val="32"/>
                <w:highlight w:val="none"/>
                <w:lang w:val="en-US" w:eastAsia="zh-CN"/>
              </w:rPr>
              <w:t>并合理安排推进后续报告评审工作</w:t>
            </w:r>
            <w:r>
              <w:rPr>
                <w:rFonts w:hint="default" w:ascii="Times New Roman" w:hAnsi="Times New Roman" w:eastAsia="仿宋_GB2312" w:cs="Times New Roman"/>
                <w:color w:val="000000"/>
                <w:sz w:val="32"/>
                <w:szCs w:val="32"/>
                <w:highlight w:val="none"/>
                <w:lang w:val="en-US" w:eastAsia="zh-CN"/>
              </w:rPr>
              <w:t>。优秀6-10分；良好1-5分；没有不得分。</w:t>
            </w:r>
          </w:p>
          <w:p w14:paraId="580D427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lang w:val="en-US" w:eastAsia="zh-CN"/>
              </w:rPr>
              <w:t>重点难点分析（10分）。对项目进行重</w:t>
            </w:r>
            <w:r>
              <w:rPr>
                <w:rFonts w:hint="default" w:ascii="Times New Roman" w:hAnsi="Times New Roman" w:eastAsia="仿宋_GB2312" w:cs="Times New Roman"/>
                <w:color w:val="000000"/>
                <w:sz w:val="32"/>
                <w:szCs w:val="32"/>
                <w:highlight w:val="none"/>
                <w:lang w:val="en-US" w:eastAsia="zh-CN"/>
              </w:rPr>
              <w:t>点</w:t>
            </w:r>
            <w:r>
              <w:rPr>
                <w:rFonts w:hint="default" w:ascii="Times New Roman" w:hAnsi="Times New Roman" w:eastAsia="仿宋_GB2312" w:cs="Times New Roman"/>
                <w:color w:val="000000"/>
                <w:sz w:val="32"/>
                <w:szCs w:val="32"/>
                <w:highlight w:val="none"/>
                <w:lang w:val="en-US" w:eastAsia="zh-CN"/>
              </w:rPr>
              <w:t>难点分析并制定相应措施，配合后期整体项目实施的分析，描述科学、针对性强、合理。优秀6-10分；良好1-5分；没有不得分。</w:t>
            </w:r>
          </w:p>
        </w:tc>
      </w:tr>
      <w:tr w14:paraId="3523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8" w:type="dxa"/>
            <w:noWrap w:val="0"/>
            <w:tcMar>
              <w:top w:w="0" w:type="dxa"/>
              <w:left w:w="0" w:type="dxa"/>
              <w:bottom w:w="0" w:type="dxa"/>
              <w:right w:w="0" w:type="dxa"/>
            </w:tcMar>
            <w:vAlign w:val="center"/>
          </w:tcPr>
          <w:p w14:paraId="5C278F2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项目人员（10分）</w:t>
            </w:r>
          </w:p>
        </w:tc>
        <w:tc>
          <w:tcPr>
            <w:tcW w:w="1405" w:type="dxa"/>
            <w:noWrap w:val="0"/>
            <w:tcMar>
              <w:top w:w="0" w:type="dxa"/>
              <w:left w:w="0" w:type="dxa"/>
              <w:bottom w:w="0" w:type="dxa"/>
              <w:right w:w="0" w:type="dxa"/>
            </w:tcMar>
            <w:vAlign w:val="center"/>
          </w:tcPr>
          <w:p w14:paraId="6630EA4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项目人员（10分）</w:t>
            </w:r>
          </w:p>
        </w:tc>
        <w:tc>
          <w:tcPr>
            <w:tcW w:w="6786" w:type="dxa"/>
            <w:noWrap w:val="0"/>
            <w:tcMar>
              <w:top w:w="0" w:type="dxa"/>
              <w:left w:w="0" w:type="dxa"/>
              <w:bottom w:w="0" w:type="dxa"/>
              <w:right w:w="0" w:type="dxa"/>
            </w:tcMar>
            <w:vAlign w:val="center"/>
          </w:tcPr>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6"/>
            </w:tblGrid>
            <w:tr w14:paraId="682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786" w:type="dxa"/>
                  <w:tcBorders>
                    <w:top w:val="single" w:color="809FD9" w:sz="8" w:space="0"/>
                    <w:left w:val="single" w:color="809FD9" w:sz="8" w:space="0"/>
                    <w:bottom w:val="single" w:color="809FD9" w:sz="8" w:space="0"/>
                    <w:right w:val="single" w:color="809FD9" w:sz="8" w:space="0"/>
                  </w:tcBorders>
                  <w:shd w:val="clear" w:color="auto" w:fill="FEFEFE"/>
                  <w:noWrap w:val="0"/>
                  <w:tcMar>
                    <w:top w:w="0" w:type="dxa"/>
                    <w:left w:w="0" w:type="dxa"/>
                    <w:bottom w:w="0" w:type="dxa"/>
                    <w:right w:w="0" w:type="dxa"/>
                  </w:tcMar>
                  <w:vAlign w:val="center"/>
                </w:tcPr>
                <w:p w14:paraId="72614566">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项</w:t>
                  </w:r>
                  <w:r>
                    <w:rPr>
                      <w:rFonts w:hint="default" w:ascii="Times New Roman" w:hAnsi="Times New Roman" w:eastAsia="仿宋_GB2312" w:cs="Times New Roman"/>
                      <w:color w:val="000000"/>
                      <w:kern w:val="2"/>
                      <w:sz w:val="32"/>
                      <w:szCs w:val="32"/>
                      <w:highlight w:val="none"/>
                      <w:lang w:val="en-US" w:eastAsia="zh-CN" w:bidi="ar-SA"/>
                    </w:rPr>
                    <w:t>目团队人员10分。项目负责人需具备高级职称。项目组人员中除项目负责人外，其他人员具有中级（含）以上职称得3分，具有高级（含）以上职称得5分。本项最高得分10分。</w:t>
                  </w:r>
                </w:p>
                <w:p w14:paraId="5709EB5B">
                  <w:pPr>
                    <w:pageBreakBefore w:val="0"/>
                    <w:widowControl/>
                    <w:numPr>
                      <w:ilvl w:val="0"/>
                      <w:numId w:val="0"/>
                    </w:numPr>
                    <w:kinsoku/>
                    <w:wordWrap/>
                    <w:overflowPunct/>
                    <w:topLinePunct w:val="0"/>
                    <w:bidi w:val="0"/>
                    <w:adjustRightInd w:val="0"/>
                    <w:snapToGrid w:val="0"/>
                    <w:spacing w:line="52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（需提供投标人员劳动合同及证书等证明材料）</w:t>
                  </w:r>
                </w:p>
              </w:tc>
            </w:tr>
          </w:tbl>
          <w:p w14:paraId="4126DF2C">
            <w:pPr>
              <w:pageBreakBefore w:val="0"/>
              <w:widowControl/>
              <w:numPr>
                <w:ilvl w:val="0"/>
                <w:numId w:val="0"/>
              </w:numPr>
              <w:kinsoku/>
              <w:wordWrap/>
              <w:overflowPunct/>
              <w:topLinePunct w:val="0"/>
              <w:bidi w:val="0"/>
              <w:adjustRightInd w:val="0"/>
              <w:snapToGrid w:val="0"/>
              <w:spacing w:line="520" w:lineRule="exact"/>
              <w:jc w:val="both"/>
              <w:rPr>
                <w:rFonts w:hint="default" w:ascii="Times New Roman" w:hAnsi="Times New Roman" w:eastAsia="仿宋_GB2312" w:cs="Times New Roman"/>
                <w:sz w:val="32"/>
                <w:szCs w:val="32"/>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w:t>
      </w:r>
      <w:r>
        <w:rPr>
          <w:rFonts w:hint="default" w:ascii="Times New Roman" w:hAnsi="Times New Roman" w:eastAsia="仿宋_GB2312" w:cs="Times New Roman"/>
          <w:sz w:val="32"/>
          <w:szCs w:val="32"/>
          <w:highlight w:val="none"/>
          <w:lang w:val="zh-CN" w:eastAsia="zh-CN"/>
        </w:rPr>
        <w:t>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5481096F">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59196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2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ind w:firstLine="6400" w:firstLineChars="2000"/>
        <w:rPr>
          <w:rFonts w:hint="default" w:ascii="Times New Roman" w:hAnsi="Times New Roman" w:eastAsia="仿宋_GB2312" w:cs="Times New Roman"/>
          <w:sz w:val="32"/>
          <w:szCs w:val="32"/>
        </w:rPr>
      </w:pPr>
    </w:p>
    <w:p w14:paraId="53D2C21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1560B4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1696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sectPr>
      <w:pgSz w:w="11906" w:h="16838"/>
      <w:pgMar w:top="1134"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1289406A"/>
    <w:rsid w:val="0759622A"/>
    <w:rsid w:val="08150446"/>
    <w:rsid w:val="092B3F6C"/>
    <w:rsid w:val="0BBA05E1"/>
    <w:rsid w:val="1289406A"/>
    <w:rsid w:val="164953A2"/>
    <w:rsid w:val="1B437E28"/>
    <w:rsid w:val="1BDD6EE9"/>
    <w:rsid w:val="1C2559B1"/>
    <w:rsid w:val="22682FB8"/>
    <w:rsid w:val="2389558B"/>
    <w:rsid w:val="2396257F"/>
    <w:rsid w:val="246A0453"/>
    <w:rsid w:val="253B5191"/>
    <w:rsid w:val="28A1559D"/>
    <w:rsid w:val="2A2651C8"/>
    <w:rsid w:val="2C01620C"/>
    <w:rsid w:val="2CDE24A4"/>
    <w:rsid w:val="2CFD2151"/>
    <w:rsid w:val="34B322BA"/>
    <w:rsid w:val="3AE47B4E"/>
    <w:rsid w:val="456C320E"/>
    <w:rsid w:val="52441102"/>
    <w:rsid w:val="5ED658B5"/>
    <w:rsid w:val="600910AF"/>
    <w:rsid w:val="64B60E18"/>
    <w:rsid w:val="64B82739"/>
    <w:rsid w:val="684D2812"/>
    <w:rsid w:val="68FA37E9"/>
    <w:rsid w:val="6A7A2B04"/>
    <w:rsid w:val="6C2E449C"/>
    <w:rsid w:val="700C1760"/>
    <w:rsid w:val="74A842FB"/>
    <w:rsid w:val="75A50F0A"/>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Lines="0" w:afterAutospacing="0"/>
      <w:ind w:firstLine="723" w:firstLineChars="200"/>
    </w:pPr>
    <w:rPr>
      <w:rFonts w:asciiTheme="minorAscii" w:hAnsiTheme="minorAscii"/>
    </w:rPr>
  </w:style>
  <w:style w:type="paragraph" w:styleId="6">
    <w:name w:val="Plain Text"/>
    <w:basedOn w:val="1"/>
    <w:autoRedefine/>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3">
    <w:name w:val="Strong"/>
    <w:basedOn w:val="12"/>
    <w:autoRedefine/>
    <w:qFormat/>
    <w:uiPriority w:val="0"/>
    <w:rPr>
      <w:b/>
    </w:rPr>
  </w:style>
  <w:style w:type="character" w:styleId="14">
    <w:name w:val="Emphasis"/>
    <w:basedOn w:val="12"/>
    <w:autoRedefine/>
    <w:qFormat/>
    <w:uiPriority w:val="0"/>
    <w:rPr>
      <w:i/>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文档说明标题"/>
    <w:basedOn w:val="1"/>
    <w:qFormat/>
    <w:uiPriority w:val="0"/>
    <w:pPr>
      <w:spacing w:before="50" w:beforeLines="50" w:after="50" w:afterLines="50" w:line="360" w:lineRule="auto"/>
      <w:jc w:val="center"/>
      <w:outlineLvl w:val="9"/>
    </w:pPr>
    <w:rPr>
      <w:rFonts w:hint="eastAsia" w:ascii="Arial" w:hAnsi="Arial"/>
      <w:b/>
      <w:sz w:val="36"/>
      <w:lang w:eastAsia="zh-Hans"/>
    </w:rPr>
  </w:style>
  <w:style w:type="paragraph" w:customStyle="1" w:styleId="18">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19">
    <w:name w:val="节标题"/>
    <w:basedOn w:val="1"/>
    <w:autoRedefine/>
    <w:qFormat/>
    <w:uiPriority w:val="0"/>
    <w:pPr>
      <w:keepNext/>
      <w:keepLines/>
      <w:spacing w:before="340" w:beforeLines="0" w:after="330" w:afterLines="0" w:line="360" w:lineRule="auto"/>
      <w:jc w:val="center"/>
      <w:outlineLvl w:val="0"/>
    </w:pPr>
    <w:rPr>
      <w:rFonts w:asciiTheme="minorAscii" w:hAnsiTheme="minorAscii"/>
      <w:b/>
      <w:kern w:val="44"/>
      <w:sz w:val="32"/>
      <w:lang w:eastAsia="zh-Hans"/>
    </w:rPr>
  </w:style>
  <w:style w:type="paragraph" w:customStyle="1" w:styleId="20">
    <w:name w:val="附录标题"/>
    <w:basedOn w:val="1"/>
    <w:autoRedefine/>
    <w:qFormat/>
    <w:uiPriority w:val="0"/>
    <w:pPr>
      <w:keepNext/>
      <w:keepLines/>
      <w:spacing w:before="50" w:beforeLines="50" w:after="50" w:afterLines="50" w:line="360" w:lineRule="auto"/>
      <w:jc w:val="left"/>
      <w:outlineLvl w:val="0"/>
    </w:pPr>
    <w:rPr>
      <w:rFonts w:hint="default" w:asciiTheme="minorAscii" w:hAnsiTheme="minorAscii"/>
      <w:b/>
      <w:kern w:val="44"/>
      <w:sz w:val="36"/>
      <w:lang w:eastAsia="zh-Hans"/>
    </w:rPr>
  </w:style>
  <w:style w:type="character" w:customStyle="1" w:styleId="21">
    <w:name w:val="摘要"/>
    <w:basedOn w:val="12"/>
    <w:autoRedefine/>
    <w:qFormat/>
    <w:uiPriority w:val="0"/>
    <w:rPr>
      <w:rFonts w:hint="eastAsia" w:ascii="Calibri" w:hAnsi="Calibri"/>
      <w:b/>
      <w:lang w:val="en-US" w:eastAsia="zh-Hans"/>
    </w:rPr>
  </w:style>
  <w:style w:type="character" w:customStyle="1" w:styleId="22">
    <w:name w:val="关键词"/>
    <w:basedOn w:val="12"/>
    <w:qFormat/>
    <w:uiPriority w:val="0"/>
    <w:rPr>
      <w:rFonts w:hint="eastAsia" w:ascii="Calibri" w:hAnsi="Calibri"/>
      <w:b/>
      <w:lang w:val="en-US" w:eastAsia="zh-Hans"/>
    </w:rPr>
  </w:style>
  <w:style w:type="paragraph" w:customStyle="1" w:styleId="23">
    <w:name w:val="题注1"/>
    <w:basedOn w:val="1"/>
    <w:autoRedefine/>
    <w:qFormat/>
    <w:uiPriority w:val="0"/>
    <w:pPr>
      <w:jc w:val="center"/>
    </w:pPr>
    <w:rPr>
      <w:rFonts w:hint="default" w:asciiTheme="minorAscii" w:hAnsiTheme="minorAscii"/>
      <w:lang w:eastAsia="zh-Hans"/>
    </w:rPr>
  </w:style>
  <w:style w:type="character" w:customStyle="1" w:styleId="24">
    <w:name w:val="标题 1 Char"/>
    <w:link w:val="2"/>
    <w:qFormat/>
    <w:uiPriority w:val="0"/>
    <w:rPr>
      <w:b/>
      <w:kern w:val="44"/>
      <w:sz w:val="44"/>
    </w:rPr>
  </w:style>
  <w:style w:type="paragraph" w:customStyle="1" w:styleId="25">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1268</Words>
  <Characters>1317</Characters>
  <Lines>0</Lines>
  <Paragraphs>0</Paragraphs>
  <TotalTime>0</TotalTime>
  <ScaleCrop>false</ScaleCrop>
  <LinksUpToDate>false</LinksUpToDate>
  <CharactersWithSpaces>1341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2024-10-08T01:45:00Z</cp:lastPrinted>
  <dcterms:modified xsi:type="dcterms:W3CDTF">2024-10-11T08:32:43Z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FB0A7591CB2A42CD8F06DE677AADD569_13</vt:lpwstr>
  </property>
</Properties>
</file>