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E3718">
      <w:pPr>
        <w:rPr>
          <w:rFonts w:hint="default" w:ascii="Times New Roman" w:hAnsi="Times New Roman" w:cs="Times New Roman"/>
        </w:rPr>
      </w:pPr>
    </w:p>
    <w:p w14:paraId="5BEAD58F">
      <w:pPr>
        <w:adjustRightInd w:val="0"/>
        <w:snapToGrid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附件1</w:t>
      </w:r>
    </w:p>
    <w:p w14:paraId="64006C52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服务报价单</w:t>
      </w:r>
    </w:p>
    <w:p w14:paraId="271FE067"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tbl>
      <w:tblPr>
        <w:tblStyle w:val="15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106E56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882CC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1B847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祥佑家园21#-23#楼建筑及人防地库沉降异常检测检测鉴定项目</w:t>
            </w:r>
          </w:p>
        </w:tc>
      </w:tr>
      <w:tr w14:paraId="057829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E62D9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70DA0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</w:tr>
      <w:tr w14:paraId="1C49ED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6A9E4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80DD2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</w:tr>
      <w:tr w14:paraId="0F219A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FC5A2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项目负责人</w:t>
            </w:r>
          </w:p>
          <w:p w14:paraId="5C20A69B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（职称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val="en-US" w:eastAsia="zh-CN"/>
              </w:rPr>
              <w:t>执业证书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3E923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</w:tr>
      <w:tr w14:paraId="022B40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ABFC2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A3B70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332BC1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67AB5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FFBF8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****元（含税）</w:t>
            </w:r>
          </w:p>
        </w:tc>
      </w:tr>
    </w:tbl>
    <w:p w14:paraId="7F27B7A6">
      <w:pPr>
        <w:adjustRightInd w:val="0"/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EE71B74">
      <w:pPr>
        <w:pStyle w:val="9"/>
        <w:ind w:firstLine="5461" w:firstLineChars="17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年    月    日</w:t>
      </w:r>
    </w:p>
    <w:p w14:paraId="7CB4C775">
      <w:pPr>
        <w:rPr>
          <w:rFonts w:hint="default" w:ascii="Times New Roman" w:hAnsi="Times New Roman" w:eastAsia="仿宋_GB2312" w:cs="Times New Roman"/>
          <w:szCs w:val="32"/>
        </w:rPr>
      </w:pPr>
    </w:p>
    <w:p w14:paraId="64016D1F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630C778">
      <w:pPr>
        <w:pStyle w:val="2"/>
        <w:rPr>
          <w:rFonts w:hint="default" w:ascii="Times New Roman" w:hAnsi="Times New Roman" w:cs="Times New Roman"/>
        </w:rPr>
      </w:pPr>
    </w:p>
    <w:p w14:paraId="75632A9F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</w:p>
    <w:p w14:paraId="50A764F1">
      <w:pPr>
        <w:pStyle w:val="2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lang w:val="zh-CN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评标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  <w:lang w:val="zh-CN"/>
        </w:rPr>
        <w:t>标准</w:t>
      </w:r>
    </w:p>
    <w:p w14:paraId="17A5D507">
      <w:pPr>
        <w:spacing w:line="580" w:lineRule="exact"/>
        <w:ind w:firstLine="643" w:firstLineChars="200"/>
        <w:rPr>
          <w:rFonts w:hint="default" w:ascii="Times New Roman" w:hAnsi="Times New Roman" w:eastAsia="黑体" w:cs="Times New Roman"/>
          <w:b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/>
          <w:color w:val="333333"/>
          <w:kern w:val="0"/>
          <w:sz w:val="32"/>
          <w:szCs w:val="32"/>
          <w:shd w:val="clear" w:color="auto" w:fill="FFFFFF"/>
        </w:rPr>
        <w:t>一、资格审查</w:t>
      </w:r>
    </w:p>
    <w:p w14:paraId="635E1948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评审小组对申请人资格进行检查。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人不少于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少于三家则本次评标过程无效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。</w:t>
      </w:r>
    </w:p>
    <w:p w14:paraId="538A3086">
      <w:pPr>
        <w:spacing w:line="580" w:lineRule="exact"/>
        <w:ind w:firstLine="643" w:firstLineChars="200"/>
        <w:rPr>
          <w:rFonts w:hint="default" w:ascii="Times New Roman" w:hAnsi="Times New Roman" w:eastAsia="黑体" w:cs="Times New Roman"/>
          <w:b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/>
          <w:color w:val="333333"/>
          <w:kern w:val="0"/>
          <w:sz w:val="32"/>
          <w:szCs w:val="32"/>
          <w:shd w:val="clear" w:color="auto" w:fill="FFFFFF"/>
        </w:rPr>
        <w:t>二、评审</w:t>
      </w:r>
    </w:p>
    <w:p w14:paraId="7E9BFDCB">
      <w:pPr>
        <w:spacing w:line="580" w:lineRule="exact"/>
        <w:ind w:firstLine="643" w:firstLineChars="200"/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  <w:t>（一）评审方法</w:t>
      </w:r>
    </w:p>
    <w:p w14:paraId="0AA2181A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本项目采用综合评分法。总分为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分。</w:t>
      </w:r>
    </w:p>
    <w:p w14:paraId="71477EE4">
      <w:pPr>
        <w:spacing w:afterLines="50" w:line="580" w:lineRule="exact"/>
        <w:ind w:firstLine="643" w:firstLineChars="200"/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  <w:t>（二）评分办法</w:t>
      </w:r>
    </w:p>
    <w:tbl>
      <w:tblPr>
        <w:tblStyle w:val="15"/>
        <w:tblW w:w="8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6786"/>
      </w:tblGrid>
      <w:tr w14:paraId="07772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063" w:type="dxa"/>
            <w:noWrap/>
            <w:vAlign w:val="center"/>
          </w:tcPr>
          <w:p w14:paraId="7E0544FA">
            <w:pPr>
              <w:keepNext w:val="0"/>
              <w:keepLines w:val="0"/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  <w:t>分值构成</w:t>
            </w:r>
          </w:p>
          <w:p w14:paraId="5DF2224F">
            <w:pPr>
              <w:keepNext w:val="0"/>
              <w:keepLines w:val="0"/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  <w:t>总分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  <w:t>)</w:t>
            </w:r>
          </w:p>
        </w:tc>
        <w:tc>
          <w:tcPr>
            <w:tcW w:w="6786" w:type="dxa"/>
            <w:noWrap/>
            <w:vAlign w:val="center"/>
          </w:tcPr>
          <w:p w14:paraId="48F055D4">
            <w:pPr>
              <w:keepNext w:val="0"/>
              <w:keepLines w:val="0"/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企业报价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zh-CN"/>
              </w:rPr>
              <w:t>分</w:t>
            </w:r>
          </w:p>
          <w:p w14:paraId="7EC9A00A">
            <w:pPr>
              <w:keepNext w:val="0"/>
              <w:keepLines w:val="0"/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zh-CN"/>
              </w:rPr>
              <w:t>分</w:t>
            </w:r>
          </w:p>
          <w:p w14:paraId="6F316A4F">
            <w:pPr>
              <w:keepNext w:val="0"/>
              <w:keepLines w:val="0"/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人员配备及实力：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zh-CN"/>
              </w:rPr>
              <w:t>分</w:t>
            </w:r>
          </w:p>
          <w:p w14:paraId="497C0F37">
            <w:pPr>
              <w:keepNext w:val="0"/>
              <w:keepLines w:val="0"/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zh-CN"/>
              </w:rPr>
              <w:t>分</w:t>
            </w:r>
          </w:p>
        </w:tc>
      </w:tr>
      <w:tr w14:paraId="03ED0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06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54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67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59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  <w:t>评标标准</w:t>
            </w:r>
          </w:p>
        </w:tc>
      </w:tr>
      <w:tr w14:paraId="5607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206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10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企业报价</w:t>
            </w:r>
          </w:p>
          <w:p w14:paraId="088B2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分）</w:t>
            </w:r>
          </w:p>
        </w:tc>
        <w:tc>
          <w:tcPr>
            <w:tcW w:w="67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05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收费超过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控制价的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为无效报价；</w:t>
            </w:r>
          </w:p>
          <w:p w14:paraId="3E64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评标基准价：满足招标文件要求的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有效投标报价中，最低的投标报价为评标基准价。</w:t>
            </w:r>
          </w:p>
          <w:p w14:paraId="1CD97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投标报价得分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=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（基准价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报价）×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分。</w:t>
            </w:r>
          </w:p>
        </w:tc>
      </w:tr>
      <w:tr w14:paraId="09E06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06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95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企业业绩</w:t>
            </w:r>
          </w:p>
          <w:p w14:paraId="6274C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分）</w:t>
            </w:r>
          </w:p>
        </w:tc>
        <w:tc>
          <w:tcPr>
            <w:tcW w:w="67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17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自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日以来，具有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沉降观测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相关业绩者，每项得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分，最多得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分。须提供合同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扫描件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，日期以合同签订日期为准。</w:t>
            </w:r>
          </w:p>
        </w:tc>
      </w:tr>
      <w:tr w14:paraId="4774C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06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66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人员配备及实力（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分）</w:t>
            </w:r>
          </w:p>
        </w:tc>
        <w:tc>
          <w:tcPr>
            <w:tcW w:w="67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2A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具有高级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职称或岩土工程师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的，每人得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分，最高得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分；</w:t>
            </w:r>
          </w:p>
          <w:p w14:paraId="348C6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具有中级职称的，每人得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分，最高得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分；</w:t>
            </w:r>
          </w:p>
        </w:tc>
      </w:tr>
      <w:tr w14:paraId="36A60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06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DD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服务方案</w:t>
            </w:r>
          </w:p>
          <w:p w14:paraId="22883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分）</w:t>
            </w:r>
          </w:p>
        </w:tc>
        <w:tc>
          <w:tcPr>
            <w:tcW w:w="67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FD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技术安排（10分）项目组织机构及人员分工职责明确，人员的配备和技术设备创新。优秀6-10分，良好得1-5分，没有不得分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分；</w:t>
            </w:r>
          </w:p>
          <w:p w14:paraId="0A2AA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质量保证及服务承诺。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优秀6-10分，良好得1-5分，没有不得分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分。</w:t>
            </w:r>
          </w:p>
          <w:p w14:paraId="18D84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观测结束后的处理意见及建议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21-3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</w:t>
            </w:r>
          </w:p>
        </w:tc>
      </w:tr>
    </w:tbl>
    <w:p w14:paraId="5C788BFF">
      <w:pPr>
        <w:spacing w:line="580" w:lineRule="exact"/>
        <w:ind w:firstLine="643" w:firstLineChars="200"/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  <w:t>（三）推荐中标候选人</w:t>
      </w:r>
    </w:p>
    <w:p w14:paraId="5A37360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zh-CN"/>
        </w:rPr>
        <w:t>评审小组根据综合评分情况，按照评审得分由高到低顺序推荐</w:t>
      </w: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lang w:val="zh-CN"/>
        </w:rPr>
        <w:t>名中标候选人。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如最高得分为两家或两家以上时，由采购人组成的磋商小组进行磋商确定。</w:t>
      </w:r>
    </w:p>
    <w:p w14:paraId="03CEA900">
      <w:pPr>
        <w:rPr>
          <w:rFonts w:hint="default" w:ascii="Times New Roman" w:hAnsi="Times New Roman" w:cs="Times New Roman"/>
        </w:rPr>
      </w:pPr>
    </w:p>
    <w:p w14:paraId="1538ABD8">
      <w:pPr>
        <w:rPr>
          <w:rFonts w:hint="default" w:ascii="Times New Roman" w:hAnsi="Times New Roman" w:cs="Times New Roman"/>
        </w:rPr>
      </w:pPr>
    </w:p>
    <w:p w14:paraId="6DC42048">
      <w:pPr>
        <w:pStyle w:val="8"/>
        <w:ind w:left="0" w:leftChars="0" w:firstLine="0" w:firstLineChars="0"/>
        <w:jc w:val="left"/>
        <w:rPr>
          <w:rFonts w:hint="default" w:ascii="Times New Roman" w:hAnsi="Times New Roman" w:cs="Times New Roman"/>
        </w:rPr>
      </w:pPr>
    </w:p>
    <w:p w14:paraId="25171191">
      <w:pPr>
        <w:rPr>
          <w:rFonts w:hint="default" w:ascii="Times New Roman" w:hAnsi="Times New Roman" w:cs="Times New Roman"/>
        </w:rPr>
      </w:pPr>
    </w:p>
    <w:p w14:paraId="399CD4B2">
      <w:pPr>
        <w:pStyle w:val="2"/>
        <w:rPr>
          <w:rFonts w:hint="default" w:ascii="Times New Roman" w:hAnsi="Times New Roman" w:cs="Times New Roman"/>
        </w:rPr>
      </w:pPr>
    </w:p>
    <w:p w14:paraId="7CCF3901">
      <w:pPr>
        <w:pStyle w:val="5"/>
        <w:rPr>
          <w:rFonts w:hint="default" w:ascii="Times New Roman" w:hAnsi="Times New Roman" w:cs="Times New Roman"/>
        </w:rPr>
      </w:pPr>
    </w:p>
    <w:p w14:paraId="586FBE4A">
      <w:pPr>
        <w:pStyle w:val="10"/>
        <w:rPr>
          <w:rFonts w:hint="default" w:ascii="Times New Roman" w:hAnsi="Times New Roman" w:cs="Times New Roman"/>
        </w:rPr>
      </w:pPr>
    </w:p>
    <w:p w14:paraId="464BC74A">
      <w:pPr>
        <w:pStyle w:val="10"/>
        <w:rPr>
          <w:rFonts w:hint="default" w:ascii="Times New Roman" w:hAnsi="Times New Roman" w:cs="Times New Roman"/>
        </w:rPr>
      </w:pPr>
    </w:p>
    <w:p w14:paraId="637D2305">
      <w:pPr>
        <w:pStyle w:val="10"/>
        <w:rPr>
          <w:rFonts w:hint="default" w:ascii="Times New Roman" w:hAnsi="Times New Roman" w:cs="Times New Roman"/>
        </w:rPr>
      </w:pPr>
    </w:p>
    <w:p w14:paraId="2FB06DFD">
      <w:pPr>
        <w:pStyle w:val="10"/>
        <w:rPr>
          <w:rFonts w:hint="default" w:ascii="Times New Roman" w:hAnsi="Times New Roman" w:cs="Times New Roman"/>
        </w:rPr>
      </w:pPr>
    </w:p>
    <w:p w14:paraId="43A7D951">
      <w:pPr>
        <w:pStyle w:val="10"/>
        <w:rPr>
          <w:rFonts w:hint="default" w:ascii="Times New Roman" w:hAnsi="Times New Roman" w:cs="Times New Roman"/>
        </w:rPr>
      </w:pPr>
    </w:p>
    <w:p w14:paraId="71F9D5E6">
      <w:pPr>
        <w:pStyle w:val="10"/>
        <w:rPr>
          <w:rFonts w:hint="default" w:ascii="Times New Roman" w:hAnsi="Times New Roman" w:cs="Times New Roman"/>
        </w:rPr>
      </w:pPr>
    </w:p>
    <w:p w14:paraId="60A1124A">
      <w:pPr>
        <w:pStyle w:val="10"/>
        <w:rPr>
          <w:rFonts w:hint="default" w:ascii="Times New Roman" w:hAnsi="Times New Roman" w:cs="Times New Roman"/>
        </w:rPr>
      </w:pPr>
    </w:p>
    <w:p w14:paraId="1783938E">
      <w:pPr>
        <w:pStyle w:val="10"/>
        <w:rPr>
          <w:rFonts w:hint="default" w:ascii="Times New Roman" w:hAnsi="Times New Roman" w:cs="Times New Roman"/>
        </w:rPr>
      </w:pPr>
    </w:p>
    <w:p w14:paraId="51CB5368">
      <w:pPr>
        <w:pStyle w:val="10"/>
        <w:rPr>
          <w:rFonts w:hint="default" w:ascii="Times New Roman" w:hAnsi="Times New Roman" w:cs="Times New Roman"/>
        </w:rPr>
      </w:pPr>
    </w:p>
    <w:p w14:paraId="078DC1D8">
      <w:pPr>
        <w:pStyle w:val="10"/>
        <w:rPr>
          <w:rFonts w:hint="default" w:ascii="Times New Roman" w:hAnsi="Times New Roman" w:cs="Times New Roman"/>
        </w:rPr>
      </w:pPr>
    </w:p>
    <w:p w14:paraId="0A28D5DE">
      <w:pPr>
        <w:pStyle w:val="10"/>
        <w:rPr>
          <w:rFonts w:hint="default" w:ascii="Times New Roman" w:hAnsi="Times New Roman" w:cs="Times New Roman"/>
        </w:rPr>
      </w:pPr>
    </w:p>
    <w:p w14:paraId="2C1A619B">
      <w:pPr>
        <w:pStyle w:val="10"/>
        <w:rPr>
          <w:rFonts w:hint="default" w:ascii="Times New Roman" w:hAnsi="Times New Roman" w:cs="Times New Roman"/>
        </w:rPr>
      </w:pPr>
    </w:p>
    <w:p w14:paraId="230BE452">
      <w:pPr>
        <w:pStyle w:val="10"/>
        <w:rPr>
          <w:rFonts w:hint="default" w:ascii="Times New Roman" w:hAnsi="Times New Roman" w:cs="Times New Roman"/>
        </w:rPr>
      </w:pPr>
    </w:p>
    <w:p w14:paraId="7E415281">
      <w:pPr>
        <w:pStyle w:val="5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2F6FED2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 w14:paraId="3551EE5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0" w:firstLineChars="0"/>
        <w:contextualSpacing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zh-CN" w:eastAsia="zh-CN"/>
        </w:rPr>
      </w:pPr>
    </w:p>
    <w:p w14:paraId="283A67E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0" w:firstLineChars="0"/>
        <w:contextualSpacing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zh-CN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zh-CN" w:eastAsia="zh-CN"/>
        </w:rPr>
        <w:t>廉洁自律承诺书</w:t>
      </w:r>
    </w:p>
    <w:p w14:paraId="73B0B0C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0" w:firstLineChars="0"/>
        <w:contextualSpacing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zh-CN" w:eastAsia="zh-CN"/>
        </w:rPr>
      </w:pPr>
    </w:p>
    <w:p w14:paraId="64D2A36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致：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公司</w:t>
      </w:r>
    </w:p>
    <w:p w14:paraId="4D3B363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了维护国家和集体利益，规范市场运作，保障正常、有序、合理、合法地开展经济活动，防止在经济活动中出现不正当交易等不廉洁行为的发生，我司郑重承诺不使用不正当手段妨碍、排挤相关投标单位或串通投标；不以任何方式向招标人员或评标人员赠送礼品、礼金或有价证券；不进行可能影响招标公平、公正的任何活动。</w:t>
      </w:r>
    </w:p>
    <w:p w14:paraId="2DA5FA3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特此承诺。</w:t>
      </w:r>
    </w:p>
    <w:p w14:paraId="570193E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right="0" w:rightChars="0" w:firstLine="5440" w:firstLineChars="17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BE3016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right="0" w:rightChars="0" w:firstLine="5440" w:firstLineChars="17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40AE29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right="0" w:rightChars="0" w:firstLine="5440" w:firstLineChars="17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单位名称（盖章）</w:t>
      </w:r>
    </w:p>
    <w:p w14:paraId="23F25F5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420" w:right="0" w:rightChars="0" w:firstLine="5120" w:firstLineChars="16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日期:</w:t>
      </w:r>
    </w:p>
    <w:p w14:paraId="144FB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</w:p>
    <w:p w14:paraId="6046D2FF">
      <w:pPr>
        <w:rPr>
          <w:rFonts w:hint="default" w:ascii="Times New Roman" w:hAnsi="Times New Roman" w:cs="Times New Roman"/>
        </w:rPr>
      </w:pPr>
    </w:p>
    <w:p w14:paraId="7B9B68A4">
      <w:pPr>
        <w:pStyle w:val="10"/>
        <w:ind w:left="0" w:leftChars="0" w:firstLine="0" w:firstLineChars="0"/>
        <w:rPr>
          <w:rFonts w:hint="default" w:ascii="Times New Roman" w:hAnsi="Times New Roman" w:cs="Times New Roman"/>
        </w:rPr>
      </w:pPr>
    </w:p>
    <w:p w14:paraId="1D9CCD3D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00000000"/>
    <w:rsid w:val="0DEE3153"/>
    <w:rsid w:val="361B3B10"/>
    <w:rsid w:val="37C931E2"/>
    <w:rsid w:val="5F52030A"/>
    <w:rsid w:val="698E2D54"/>
    <w:rsid w:val="718A1EB9"/>
    <w:rsid w:val="7FEFA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1"/>
    <w:basedOn w:val="1"/>
    <w:next w:val="1"/>
    <w:qFormat/>
    <w:uiPriority w:val="1"/>
    <w:pPr>
      <w:ind w:left="1618"/>
      <w:outlineLvl w:val="0"/>
    </w:pPr>
    <w:rPr>
      <w:rFonts w:hint="default" w:ascii="宋体"/>
      <w:sz w:val="56"/>
    </w:rPr>
  </w:style>
  <w:style w:type="paragraph" w:styleId="9">
    <w:name w:val="heading 2"/>
    <w:basedOn w:val="1"/>
    <w:next w:val="1"/>
    <w:qFormat/>
    <w:uiPriority w:val="0"/>
    <w:pPr>
      <w:keepNext/>
      <w:keepLines/>
      <w:spacing w:before="100" w:beforeAutospacing="0" w:after="10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autoSpaceDE/>
      <w:autoSpaceDN/>
      <w:adjustRightInd/>
      <w:spacing w:after="120"/>
      <w:ind w:left="0" w:firstLine="420" w:firstLineChars="100"/>
      <w:jc w:val="both"/>
    </w:pPr>
    <w:rPr>
      <w:rFonts w:hint="default" w:ascii="Calibri" w:hAnsi="Calibri" w:eastAsia="宋体"/>
      <w:kern w:val="2"/>
      <w:sz w:val="21"/>
      <w:szCs w:val="22"/>
    </w:rPr>
  </w:style>
  <w:style w:type="paragraph" w:styleId="3">
    <w:name w:val="Body Text"/>
    <w:basedOn w:val="1"/>
    <w:next w:val="4"/>
    <w:unhideWhenUsed/>
    <w:qFormat/>
    <w:uiPriority w:val="1"/>
    <w:pPr>
      <w:ind w:left="102"/>
    </w:pPr>
    <w:rPr>
      <w:rFonts w:eastAsia="Times New Roman"/>
    </w:rPr>
  </w:style>
  <w:style w:type="paragraph" w:styleId="4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6"/>
    <w:qFormat/>
    <w:uiPriority w:val="0"/>
    <w:pPr>
      <w:ind w:firstLine="200" w:firstLineChars="200"/>
    </w:pPr>
  </w:style>
  <w:style w:type="paragraph" w:styleId="6">
    <w:name w:val="Body Text Indent"/>
    <w:basedOn w:val="1"/>
    <w:next w:val="7"/>
    <w:qFormat/>
    <w:uiPriority w:val="0"/>
    <w:pPr>
      <w:autoSpaceDE/>
      <w:autoSpaceDN/>
      <w:spacing w:after="120"/>
      <w:ind w:left="200" w:leftChars="200"/>
      <w:jc w:val="both"/>
    </w:pPr>
    <w:rPr>
      <w:rFonts w:ascii="Times New Roman" w:hAnsi="Times New Roman" w:cs="Times New Roman"/>
      <w:kern w:val="2"/>
      <w:sz w:val="21"/>
      <w:szCs w:val="24"/>
      <w:lang w:bidi="ar-SA"/>
    </w:rPr>
  </w:style>
  <w:style w:type="paragraph" w:styleId="7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10">
    <w:name w:val="Normal Indent"/>
    <w:basedOn w:val="1"/>
    <w:qFormat/>
    <w:uiPriority w:val="99"/>
    <w:pPr>
      <w:ind w:firstLine="420"/>
    </w:pPr>
    <w:rPr>
      <w:szCs w:val="20"/>
    </w:rPr>
  </w:style>
  <w:style w:type="paragraph" w:styleId="11">
    <w:name w:val="Plain Text"/>
    <w:basedOn w:val="1"/>
    <w:qFormat/>
    <w:uiPriority w:val="0"/>
    <w:rPr>
      <w:sz w:val="24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next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Times New Roman"/>
      <w:sz w:val="18"/>
    </w:rPr>
  </w:style>
  <w:style w:type="paragraph" w:customStyle="1" w:styleId="14">
    <w:name w:val="_Style 4"/>
    <w:basedOn w:val="1"/>
    <w:next w:val="1"/>
    <w:qFormat/>
    <w:uiPriority w:val="99"/>
    <w:pPr>
      <w:ind w:left="864" w:right="864"/>
      <w:jc w:val="center"/>
    </w:pPr>
    <w:rPr>
      <w:rFonts w:ascii="Times New Roman" w:hAnsi="Times New Roman" w:cs="Times New Roman"/>
      <w:i/>
      <w:iCs/>
      <w:color w:val="404040"/>
      <w:szCs w:val="21"/>
    </w:rPr>
  </w:style>
  <w:style w:type="paragraph" w:customStyle="1" w:styleId="17">
    <w:name w:val="Default"/>
    <w:next w:val="18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8">
    <w:name w:val="大标题"/>
    <w:basedOn w:val="1"/>
    <w:next w:val="5"/>
    <w:qFormat/>
    <w:uiPriority w:val="0"/>
    <w:pPr>
      <w:jc w:val="center"/>
    </w:pPr>
    <w:rPr>
      <w:rFonts w:ascii="Arial" w:hAnsi="Arial" w:eastAsia="宋体"/>
      <w:b/>
      <w:sz w:val="28"/>
      <w:szCs w:val="24"/>
    </w:rPr>
  </w:style>
  <w:style w:type="paragraph" w:customStyle="1" w:styleId="19">
    <w:name w:val="标题 2_5"/>
    <w:basedOn w:val="1"/>
    <w:next w:val="1"/>
    <w:qFormat/>
    <w:uiPriority w:val="9"/>
    <w:pPr>
      <w:keepNext/>
      <w:keepLines/>
      <w:autoSpaceDE/>
      <w:autoSpaceDN/>
      <w:adjustRightInd/>
      <w:spacing w:before="260" w:after="260" w:line="416" w:lineRule="auto"/>
      <w:jc w:val="both"/>
      <w:outlineLvl w:val="1"/>
    </w:pPr>
    <w:rPr>
      <w:rFonts w:hint="default" w:ascii="Cambria" w:hAnsi="Cambria"/>
      <w:b/>
      <w:bCs/>
      <w:sz w:val="32"/>
      <w:szCs w:val="32"/>
    </w:rPr>
  </w:style>
  <w:style w:type="paragraph" w:customStyle="1" w:styleId="20">
    <w:name w:val="纯文本1"/>
    <w:basedOn w:val="1"/>
    <w:autoRedefine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807</Words>
  <Characters>859</Characters>
  <Lines>0</Lines>
  <Paragraphs>0</Paragraphs>
  <TotalTime>2</TotalTime>
  <ScaleCrop>false</ScaleCrop>
  <LinksUpToDate>false</LinksUpToDate>
  <CharactersWithSpaces>882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2024-03-08T15:16:00Z</dcterms:created>
  <dc:creator>Administrator</dc:creator>
  <cp:lastModifiedBy>萌萌噠</cp:lastModifiedBy>
  <dcterms:modified xsi:type="dcterms:W3CDTF">2024-08-06T02:40:21Z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B04ECE4C05B54926ACD2E22994F3CA16_13</vt:lpwstr>
  </property>
</Properties>
</file>