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E94F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14:paraId="5E2861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14:paraId="7A8975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14:paraId="11FFF763">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许昌市城投发展集团有限公司</w:t>
      </w:r>
    </w:p>
    <w:p w14:paraId="17E448AF">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val="en-US" w:eastAsia="zh-CN"/>
        </w:rPr>
        <w:t>专项审计</w:t>
      </w:r>
      <w:r>
        <w:rPr>
          <w:rFonts w:hint="eastAsia" w:ascii="方正小标宋简体" w:hAnsi="方正小标宋简体" w:eastAsia="方正小标宋简体" w:cs="方正小标宋简体"/>
          <w:b w:val="0"/>
          <w:bCs w:val="0"/>
          <w:sz w:val="52"/>
          <w:szCs w:val="52"/>
        </w:rPr>
        <w:t>服务</w:t>
      </w:r>
    </w:p>
    <w:p w14:paraId="3BA3158A">
      <w:pPr>
        <w:jc w:val="center"/>
        <w:rPr>
          <w:rFonts w:hint="eastAsia" w:ascii="仿宋" w:hAnsi="仿宋" w:eastAsia="仿宋" w:cs="仿宋"/>
          <w:b/>
          <w:color w:val="auto"/>
          <w:spacing w:val="60"/>
          <w:sz w:val="28"/>
          <w:szCs w:val="28"/>
          <w:shd w:val="clear" w:color="060000" w:fill="auto"/>
        </w:rPr>
      </w:pPr>
    </w:p>
    <w:p w14:paraId="4F1EFE5A">
      <w:pPr>
        <w:jc w:val="both"/>
        <w:rPr>
          <w:rFonts w:hint="eastAsia" w:ascii="仿宋" w:hAnsi="仿宋" w:eastAsia="仿宋" w:cs="仿宋"/>
          <w:color w:val="auto"/>
          <w:sz w:val="28"/>
          <w:szCs w:val="28"/>
          <w:shd w:val="clear" w:color="050000" w:fill="auto"/>
        </w:rPr>
      </w:pPr>
    </w:p>
    <w:p w14:paraId="55B99600">
      <w:pPr>
        <w:jc w:val="center"/>
        <w:rPr>
          <w:rFonts w:hint="eastAsia" w:ascii="仿宋" w:hAnsi="仿宋" w:eastAsia="仿宋" w:cs="仿宋"/>
          <w:color w:val="auto"/>
          <w:sz w:val="28"/>
          <w:szCs w:val="28"/>
          <w:shd w:val="clear" w:color="050000" w:fill="auto"/>
        </w:rPr>
      </w:pPr>
    </w:p>
    <w:p w14:paraId="00947BDA">
      <w:pPr>
        <w:rPr>
          <w:rFonts w:hint="eastAsia" w:ascii="仿宋" w:hAnsi="仿宋" w:eastAsia="仿宋" w:cs="仿宋"/>
          <w:color w:val="auto"/>
          <w:sz w:val="28"/>
          <w:szCs w:val="28"/>
          <w:shd w:val="clear" w:color="050000" w:fill="auto"/>
        </w:rPr>
      </w:pPr>
    </w:p>
    <w:p w14:paraId="26A07F8C">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比 选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6C995BDD">
      <w:pPr>
        <w:rPr>
          <w:rFonts w:hint="eastAsia" w:ascii="仿宋" w:hAnsi="仿宋" w:eastAsia="仿宋" w:cs="仿宋"/>
          <w:color w:val="auto"/>
          <w:sz w:val="28"/>
          <w:szCs w:val="28"/>
          <w:shd w:val="clear" w:color="050000" w:fill="auto"/>
        </w:rPr>
      </w:pPr>
    </w:p>
    <w:p w14:paraId="353E4CDB">
      <w:pPr>
        <w:jc w:val="center"/>
        <w:rPr>
          <w:rFonts w:hint="eastAsia" w:ascii="仿宋" w:hAnsi="仿宋" w:eastAsia="仿宋" w:cs="仿宋"/>
          <w:color w:val="auto"/>
          <w:sz w:val="28"/>
          <w:szCs w:val="28"/>
          <w:shd w:val="clear" w:color="050000" w:fill="auto"/>
        </w:rPr>
      </w:pPr>
    </w:p>
    <w:p w14:paraId="2AA51016">
      <w:pPr>
        <w:pStyle w:val="38"/>
        <w:jc w:val="both"/>
        <w:rPr>
          <w:rFonts w:hint="eastAsia" w:ascii="仿宋" w:hAnsi="仿宋" w:eastAsia="仿宋" w:cs="仿宋"/>
          <w:color w:val="auto"/>
          <w:sz w:val="28"/>
          <w:szCs w:val="28"/>
          <w:shd w:val="clear" w:color="050000" w:fill="auto"/>
        </w:rPr>
      </w:pPr>
    </w:p>
    <w:p w14:paraId="54264CCA">
      <w:pPr>
        <w:jc w:val="center"/>
        <w:rPr>
          <w:rFonts w:hint="eastAsia" w:ascii="仿宋" w:hAnsi="仿宋" w:eastAsia="仿宋" w:cs="仿宋"/>
          <w:color w:val="auto"/>
          <w:sz w:val="28"/>
          <w:szCs w:val="28"/>
          <w:shd w:val="clear" w:color="050000" w:fill="auto"/>
        </w:rPr>
      </w:pPr>
    </w:p>
    <w:p w14:paraId="3D719BAD">
      <w:pPr>
        <w:jc w:val="center"/>
        <w:rPr>
          <w:rFonts w:hint="eastAsia" w:ascii="仿宋" w:hAnsi="仿宋" w:eastAsia="仿宋" w:cs="仿宋"/>
          <w:color w:val="auto"/>
          <w:sz w:val="28"/>
          <w:szCs w:val="28"/>
          <w:shd w:val="clear" w:color="050000" w:fill="auto"/>
        </w:rPr>
      </w:pPr>
    </w:p>
    <w:p w14:paraId="3D2391A8">
      <w:pPr>
        <w:spacing w:line="360" w:lineRule="auto"/>
        <w:jc w:val="center"/>
        <w:rPr>
          <w:rFonts w:hint="eastAsia" w:ascii="仿宋" w:hAnsi="仿宋" w:eastAsia="仿宋" w:cs="仿宋"/>
          <w:b/>
          <w:color w:val="auto"/>
          <w:sz w:val="36"/>
          <w:szCs w:val="36"/>
          <w:shd w:val="clear" w:color="060000" w:fill="auto"/>
        </w:rPr>
      </w:pPr>
    </w:p>
    <w:p w14:paraId="2A644E6B">
      <w:pPr>
        <w:spacing w:line="360" w:lineRule="auto"/>
        <w:jc w:val="center"/>
        <w:rPr>
          <w:rFonts w:hint="eastAsia" w:ascii="仿宋" w:hAnsi="仿宋" w:eastAsia="仿宋" w:cs="仿宋"/>
          <w:color w:val="auto"/>
          <w:sz w:val="36"/>
          <w:szCs w:val="36"/>
          <w:shd w:val="clear" w:color="050000" w:fill="auto"/>
        </w:rPr>
      </w:pPr>
      <w:r>
        <w:rPr>
          <w:rFonts w:hint="eastAsia" w:ascii="仿宋" w:hAnsi="仿宋" w:eastAsia="仿宋" w:cs="仿宋"/>
          <w:b/>
          <w:color w:val="auto"/>
          <w:sz w:val="36"/>
          <w:szCs w:val="36"/>
          <w:shd w:val="clear" w:color="060000" w:fill="auto"/>
        </w:rPr>
        <w:t>二〇二</w:t>
      </w:r>
      <w:r>
        <w:rPr>
          <w:rFonts w:hint="eastAsia" w:ascii="仿宋" w:hAnsi="仿宋" w:eastAsia="仿宋" w:cs="仿宋"/>
          <w:b/>
          <w:color w:val="auto"/>
          <w:sz w:val="36"/>
          <w:szCs w:val="36"/>
          <w:shd w:val="clear" w:color="060000" w:fill="auto"/>
          <w:lang w:val="en-US" w:eastAsia="zh-CN"/>
        </w:rPr>
        <w:t>四</w:t>
      </w:r>
      <w:r>
        <w:rPr>
          <w:rFonts w:hint="eastAsia" w:ascii="仿宋" w:hAnsi="仿宋" w:eastAsia="仿宋" w:cs="仿宋"/>
          <w:b/>
          <w:color w:val="auto"/>
          <w:sz w:val="36"/>
          <w:szCs w:val="36"/>
          <w:shd w:val="clear" w:color="060000" w:fill="auto"/>
        </w:rPr>
        <w:t>年</w:t>
      </w:r>
      <w:r>
        <w:rPr>
          <w:rFonts w:hint="eastAsia" w:ascii="仿宋" w:hAnsi="仿宋" w:eastAsia="仿宋" w:cs="仿宋"/>
          <w:b/>
          <w:color w:val="auto"/>
          <w:sz w:val="36"/>
          <w:szCs w:val="36"/>
          <w:shd w:val="clear" w:color="060000" w:fill="auto"/>
          <w:lang w:eastAsia="zh-CN"/>
        </w:rPr>
        <w:t>七</w:t>
      </w:r>
      <w:r>
        <w:rPr>
          <w:rFonts w:hint="eastAsia" w:ascii="仿宋" w:hAnsi="仿宋" w:eastAsia="仿宋" w:cs="仿宋"/>
          <w:b/>
          <w:color w:val="auto"/>
          <w:sz w:val="36"/>
          <w:szCs w:val="36"/>
          <w:shd w:val="clear" w:color="060000" w:fill="auto"/>
        </w:rPr>
        <w:t>月</w:t>
      </w:r>
    </w:p>
    <w:p w14:paraId="7F58EE22">
      <w:pPr>
        <w:pStyle w:val="26"/>
        <w:ind w:firstLine="0" w:firstLineChars="0"/>
        <w:rPr>
          <w:rFonts w:hint="eastAsia" w:ascii="仿宋" w:hAnsi="仿宋" w:eastAsia="仿宋" w:cs="仿宋"/>
          <w:color w:val="auto"/>
          <w:sz w:val="24"/>
          <w:szCs w:val="24"/>
        </w:rPr>
      </w:pPr>
    </w:p>
    <w:p w14:paraId="7373B628">
      <w:pPr>
        <w:spacing w:line="700" w:lineRule="auto"/>
        <w:ind w:firstLine="551"/>
        <w:jc w:val="center"/>
        <w:rPr>
          <w:rFonts w:hint="eastAsia" w:ascii="仿宋" w:hAnsi="仿宋" w:eastAsia="仿宋" w:cs="仿宋"/>
          <w:b/>
          <w:color w:val="auto"/>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0BFED8DD">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eastAsia" w:ascii="仿宋" w:hAnsi="仿宋" w:eastAsia="仿宋" w:cs="仿宋"/>
          <w:color w:val="auto"/>
          <w:sz w:val="40"/>
          <w:szCs w:val="40"/>
          <w:shd w:val="clear" w:color="060000" w:fill="auto"/>
        </w:rPr>
      </w:pPr>
      <w:r>
        <w:rPr>
          <w:rFonts w:hint="eastAsia" w:ascii="仿宋" w:hAnsi="仿宋" w:eastAsia="仿宋" w:cs="仿宋"/>
          <w:b/>
          <w:color w:val="auto"/>
          <w:sz w:val="40"/>
          <w:szCs w:val="40"/>
          <w:shd w:val="clear" w:color="060000" w:fill="auto"/>
          <w:lang w:eastAsia="zh-CN"/>
        </w:rPr>
        <w:t>比选文件</w:t>
      </w:r>
      <w:r>
        <w:rPr>
          <w:rFonts w:hint="eastAsia" w:ascii="仿宋" w:hAnsi="仿宋" w:eastAsia="仿宋" w:cs="仿宋"/>
          <w:b/>
          <w:color w:val="auto"/>
          <w:sz w:val="40"/>
          <w:szCs w:val="40"/>
          <w:shd w:val="clear" w:color="060000" w:fill="auto"/>
        </w:rPr>
        <w:t>目录</w:t>
      </w:r>
    </w:p>
    <w:p w14:paraId="1077DF17">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p>
    <w:p w14:paraId="358CCEE2">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lang w:eastAsia="zh-CN"/>
        </w:rPr>
      </w:pPr>
      <w:r>
        <w:rPr>
          <w:rFonts w:hint="eastAsia" w:ascii="仿宋" w:hAnsi="仿宋" w:eastAsia="仿宋" w:cs="仿宋"/>
          <w:b/>
          <w:color w:val="auto"/>
          <w:sz w:val="32"/>
          <w:szCs w:val="32"/>
          <w:shd w:val="clear" w:color="060000" w:fill="auto"/>
        </w:rPr>
        <w:t xml:space="preserve">第一章 </w:t>
      </w:r>
      <w:r>
        <w:rPr>
          <w:rFonts w:hint="eastAsia" w:ascii="仿宋" w:hAnsi="仿宋" w:eastAsia="仿宋" w:cs="仿宋"/>
          <w:b/>
          <w:color w:val="auto"/>
          <w:sz w:val="32"/>
          <w:szCs w:val="32"/>
          <w:shd w:val="clear" w:color="060000" w:fill="auto"/>
          <w:lang w:val="en-US" w:eastAsia="zh-CN"/>
        </w:rPr>
        <w:t>比选邀请函</w:t>
      </w:r>
    </w:p>
    <w:p w14:paraId="5AB79EB7">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第二章</w:t>
      </w:r>
      <w:r>
        <w:rPr>
          <w:rFonts w:hint="eastAsia" w:ascii="仿宋" w:hAnsi="仿宋" w:eastAsia="仿宋" w:cs="仿宋"/>
          <w:b/>
          <w:color w:val="auto"/>
          <w:sz w:val="32"/>
          <w:szCs w:val="32"/>
          <w:shd w:val="clear" w:color="060000" w:fill="auto"/>
          <w:lang w:val="en-US" w:eastAsia="zh-CN"/>
        </w:rPr>
        <w:t xml:space="preserve"> 采购需求</w:t>
      </w:r>
    </w:p>
    <w:p w14:paraId="4D472C51">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三</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投标人</w:t>
      </w:r>
      <w:r>
        <w:rPr>
          <w:rFonts w:hint="eastAsia" w:ascii="仿宋" w:hAnsi="仿宋" w:eastAsia="仿宋" w:cs="仿宋"/>
          <w:b/>
          <w:color w:val="auto"/>
          <w:sz w:val="32"/>
          <w:szCs w:val="32"/>
          <w:shd w:val="clear" w:color="060000" w:fill="auto"/>
        </w:rPr>
        <w:t>须知</w:t>
      </w:r>
    </w:p>
    <w:p w14:paraId="4F3E7000">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第四章</w:t>
      </w:r>
      <w:r>
        <w:rPr>
          <w:rFonts w:hint="eastAsia" w:ascii="仿宋" w:hAnsi="仿宋" w:eastAsia="仿宋" w:cs="仿宋"/>
          <w:b/>
          <w:color w:val="auto"/>
          <w:sz w:val="32"/>
          <w:szCs w:val="32"/>
          <w:shd w:val="clear" w:color="060000" w:fill="auto"/>
          <w:lang w:val="en-US" w:eastAsia="zh-CN"/>
        </w:rPr>
        <w:t xml:space="preserve"> 评分办法</w:t>
      </w:r>
    </w:p>
    <w:p w14:paraId="18D43396">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五</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投标文件</w:t>
      </w:r>
      <w:r>
        <w:rPr>
          <w:rFonts w:hint="eastAsia" w:ascii="仿宋" w:hAnsi="仿宋" w:eastAsia="仿宋" w:cs="仿宋"/>
          <w:b/>
          <w:color w:val="auto"/>
          <w:sz w:val="32"/>
          <w:szCs w:val="32"/>
          <w:shd w:val="clear" w:color="060000" w:fill="auto"/>
        </w:rPr>
        <w:t>有关格式</w:t>
      </w:r>
    </w:p>
    <w:p w14:paraId="5099DE69">
      <w:pPr>
        <w:jc w:val="left"/>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15D18E5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5CE609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许昌市城投发展集团有限公司</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人）拟通过</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的方式选聘</w:t>
      </w:r>
      <w:r>
        <w:rPr>
          <w:rFonts w:hint="eastAsia" w:ascii="仿宋_GB2312" w:hAnsi="仿宋_GB2312" w:eastAsia="仿宋_GB2312" w:cs="仿宋_GB2312"/>
          <w:sz w:val="32"/>
          <w:szCs w:val="32"/>
          <w:lang w:eastAsia="zh-CN"/>
        </w:rPr>
        <w:t>会计师事务所</w:t>
      </w:r>
      <w:r>
        <w:rPr>
          <w:rFonts w:hint="eastAsia" w:ascii="仿宋_GB2312" w:hAnsi="仿宋_GB2312" w:eastAsia="仿宋_GB2312" w:cs="仿宋_GB2312"/>
          <w:sz w:val="32"/>
          <w:szCs w:val="32"/>
          <w:lang w:val="en-US" w:eastAsia="zh-CN"/>
        </w:rPr>
        <w:t>为城投集团下属公司提供专项审计服务，</w:t>
      </w:r>
      <w:r>
        <w:rPr>
          <w:rFonts w:hint="eastAsia" w:ascii="仿宋_GB2312" w:hAnsi="仿宋_GB2312" w:eastAsia="仿宋_GB2312" w:cs="仿宋_GB2312"/>
          <w:sz w:val="32"/>
          <w:szCs w:val="32"/>
        </w:rPr>
        <w:t>现诚邀符合资格条件的</w:t>
      </w:r>
      <w:r>
        <w:rPr>
          <w:rFonts w:hint="eastAsia" w:ascii="仿宋_GB2312" w:hAnsi="仿宋_GB2312" w:eastAsia="仿宋_GB2312" w:cs="仿宋_GB2312"/>
          <w:sz w:val="32"/>
          <w:szCs w:val="32"/>
          <w:lang w:val="en-US" w:eastAsia="zh-CN"/>
        </w:rPr>
        <w:t>比选人</w:t>
      </w:r>
      <w:r>
        <w:rPr>
          <w:rFonts w:hint="eastAsia" w:ascii="仿宋_GB2312" w:hAnsi="仿宋_GB2312" w:eastAsia="仿宋_GB2312" w:cs="仿宋_GB2312"/>
          <w:sz w:val="32"/>
          <w:szCs w:val="32"/>
        </w:rPr>
        <w:t>参加。</w:t>
      </w:r>
    </w:p>
    <w:p w14:paraId="32B5C1E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lang w:val="en-US" w:eastAsia="zh-CN"/>
        </w:rPr>
        <w:t>项目</w:t>
      </w:r>
      <w:r>
        <w:rPr>
          <w:rFonts w:hint="eastAsia" w:ascii="仿宋_GB2312" w:hAnsi="仿宋_GB2312" w:eastAsia="仿宋_GB2312" w:cs="仿宋_GB2312"/>
          <w:b/>
          <w:bCs w:val="0"/>
          <w:sz w:val="32"/>
          <w:szCs w:val="32"/>
        </w:rPr>
        <w:t>概况</w:t>
      </w:r>
    </w:p>
    <w:p w14:paraId="20FE113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比选项目名称：</w:t>
      </w:r>
      <w:r>
        <w:rPr>
          <w:rFonts w:hint="eastAsia" w:ascii="仿宋_GB2312" w:hAnsi="仿宋_GB2312" w:eastAsia="仿宋_GB2312" w:cs="仿宋_GB2312"/>
          <w:sz w:val="32"/>
          <w:szCs w:val="32"/>
          <w:lang w:val="en-US" w:eastAsia="zh-CN"/>
        </w:rPr>
        <w:t>许昌市城投发展集团有限公司专项审计服务会计师事务所比选</w:t>
      </w:r>
    </w:p>
    <w:p w14:paraId="4647B6A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比选事项：</w:t>
      </w:r>
      <w:r>
        <w:rPr>
          <w:rFonts w:hint="eastAsia" w:ascii="仿宋_GB2312" w:hAnsi="仿宋_GB2312" w:eastAsia="仿宋_GB2312" w:cs="仿宋_GB2312"/>
          <w:b w:val="0"/>
          <w:bCs/>
          <w:sz w:val="32"/>
          <w:szCs w:val="32"/>
          <w:lang w:val="en-US" w:eastAsia="zh-CN"/>
        </w:rPr>
        <w:t>会计师事务所审计服务</w:t>
      </w:r>
    </w:p>
    <w:p w14:paraId="5607D82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审计年度</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lang w:val="en-US" w:eastAsia="zh-CN"/>
        </w:rPr>
        <w:t xml:space="preserve">不固定审计年度 </w:t>
      </w:r>
    </w:p>
    <w:p w14:paraId="5B1686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sz w:val="32"/>
          <w:szCs w:val="32"/>
          <w:lang w:eastAsia="zh-CN"/>
        </w:rPr>
        <w:t>被审计单位</w:t>
      </w:r>
      <w:r>
        <w:rPr>
          <w:rFonts w:hint="eastAsia" w:ascii="仿宋_GB2312" w:hAnsi="仿宋_GB2312" w:eastAsia="仿宋_GB2312" w:cs="仿宋_GB2312"/>
          <w:b/>
          <w:sz w:val="32"/>
          <w:szCs w:val="32"/>
        </w:rPr>
        <w:t>：</w:t>
      </w:r>
      <w:r>
        <w:rPr>
          <w:rFonts w:hint="eastAsia" w:ascii="Times New Roman" w:hAnsi="Times New Roman" w:eastAsia="仿宋_GB2312" w:cs="Times New Roman"/>
          <w:sz w:val="32"/>
          <w:szCs w:val="32"/>
          <w:lang w:val="en-US" w:eastAsia="zh-CN"/>
        </w:rPr>
        <w:t>许昌建投城市建设开发有限公司、许昌建投郑许一体建设开发有限公司、许昌建投环保工程有限公司、许昌建投正能热力有限公司、许昌建投中能热力有限公司、许昌广莅公路实业发展有限公司</w:t>
      </w:r>
    </w:p>
    <w:p w14:paraId="6F9B92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rPr>
        <w:t>专项</w:t>
      </w:r>
      <w:r>
        <w:rPr>
          <w:rFonts w:hint="eastAsia" w:ascii="仿宋_GB2312" w:hAnsi="仿宋_GB2312" w:eastAsia="仿宋_GB2312" w:cs="仿宋_GB2312"/>
          <w:b/>
          <w:bCs/>
          <w:sz w:val="32"/>
          <w:szCs w:val="32"/>
          <w:lang w:eastAsia="zh-CN"/>
        </w:rPr>
        <w:t>审计</w:t>
      </w:r>
      <w:r>
        <w:rPr>
          <w:rFonts w:hint="eastAsia" w:ascii="仿宋_GB2312" w:hAnsi="仿宋_GB2312" w:eastAsia="仿宋_GB2312" w:cs="仿宋_GB2312"/>
          <w:b/>
          <w:bCs/>
          <w:sz w:val="32"/>
          <w:szCs w:val="32"/>
        </w:rPr>
        <w:t>服务</w:t>
      </w:r>
      <w:r>
        <w:rPr>
          <w:rFonts w:hint="eastAsia" w:ascii="仿宋_GB2312" w:hAnsi="仿宋_GB2312" w:eastAsia="仿宋_GB2312" w:cs="仿宋_GB2312"/>
          <w:b/>
          <w:bCs/>
          <w:sz w:val="32"/>
          <w:szCs w:val="32"/>
          <w:lang w:eastAsia="zh-CN"/>
        </w:rPr>
        <w:t>需求</w:t>
      </w:r>
    </w:p>
    <w:p w14:paraId="556220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1.根据融资需要，每年提供金融机构认可的财务报表及具有连贯性的上年度审计报告；</w:t>
      </w:r>
    </w:p>
    <w:p w14:paraId="4D51BD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2.对融资所需的财务报表提供科目明细及附注；</w:t>
      </w:r>
    </w:p>
    <w:p w14:paraId="1D013D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融资</w:t>
      </w:r>
      <w:r>
        <w:rPr>
          <w:rFonts w:hint="eastAsia" w:ascii="仿宋_GB2312" w:hAnsi="仿宋_GB2312" w:eastAsia="仿宋_GB2312" w:cs="仿宋_GB2312"/>
          <w:sz w:val="32"/>
          <w:szCs w:val="32"/>
          <w:highlight w:val="none"/>
        </w:rPr>
        <w:t>过程中根据需要提供</w:t>
      </w:r>
      <w:r>
        <w:rPr>
          <w:rFonts w:hint="eastAsia" w:ascii="仿宋_GB2312" w:hAnsi="仿宋_GB2312" w:eastAsia="仿宋_GB2312" w:cs="仿宋_GB2312"/>
          <w:sz w:val="32"/>
          <w:szCs w:val="32"/>
          <w:highlight w:val="none"/>
          <w:lang w:eastAsia="zh-CN"/>
        </w:rPr>
        <w:t>会计事项咨询</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w:t>
      </w:r>
    </w:p>
    <w:p w14:paraId="59D396F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14:paraId="306CC2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参与此次</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应具备以下条件：</w:t>
      </w:r>
    </w:p>
    <w:p w14:paraId="6365B6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在中华人民共和国境内注册，持有合法有效的企业营业执照</w:t>
      </w:r>
      <w:r>
        <w:rPr>
          <w:rFonts w:hint="eastAsia" w:ascii="仿宋_GB2312" w:hAnsi="仿宋_GB2312" w:eastAsia="仿宋_GB2312" w:cs="仿宋_GB2312"/>
          <w:sz w:val="32"/>
          <w:szCs w:val="32"/>
          <w:highlight w:val="none"/>
          <w:lang w:eastAsia="zh-CN"/>
        </w:rPr>
        <w:t>、会计事务所执业证书等证件</w:t>
      </w:r>
      <w:r>
        <w:rPr>
          <w:rFonts w:hint="eastAsia" w:ascii="仿宋_GB2312" w:hAnsi="仿宋_GB2312" w:eastAsia="仿宋_GB2312" w:cs="仿宋_GB2312"/>
          <w:sz w:val="32"/>
          <w:szCs w:val="32"/>
          <w:highlight w:val="none"/>
        </w:rPr>
        <w:t>；</w:t>
      </w:r>
    </w:p>
    <w:p w14:paraId="3B63E4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近三年未因重大的执业质量等问题被责令停业，没有处于破产或存在其他违法行为；</w:t>
      </w:r>
    </w:p>
    <w:p w14:paraId="7770DD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未</w:t>
      </w:r>
      <w:r>
        <w:rPr>
          <w:rFonts w:hint="eastAsia" w:ascii="仿宋_GB2312" w:hAnsi="仿宋_GB2312" w:eastAsia="仿宋_GB2312" w:cs="仿宋_GB2312"/>
          <w:sz w:val="32"/>
          <w:szCs w:val="32"/>
          <w:highlight w:val="none"/>
          <w:lang w:val="en-US" w:eastAsia="zh-CN"/>
        </w:rPr>
        <w:t>被列入经营异常名录或者严重违法失信名单、失信被执行人，重大税收违法案件当事人名单、政府采购严重违法失信行为记录名单</w:t>
      </w:r>
      <w:r>
        <w:rPr>
          <w:rFonts w:hint="eastAsia" w:ascii="仿宋_GB2312" w:hAnsi="仿宋_GB2312" w:eastAsia="仿宋_GB2312" w:cs="仿宋_GB2312"/>
          <w:sz w:val="32"/>
          <w:szCs w:val="32"/>
          <w:highlight w:val="none"/>
        </w:rPr>
        <w:t>。</w:t>
      </w:r>
    </w:p>
    <w:p w14:paraId="5BFB65D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14:paraId="53A234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按照比选文件第五章要求提供。</w:t>
      </w:r>
    </w:p>
    <w:p w14:paraId="3C92B49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14:paraId="402C19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18:00</w:t>
      </w:r>
      <w:r>
        <w:rPr>
          <w:rFonts w:hint="eastAsia" w:ascii="仿宋_GB2312" w:hAnsi="仿宋_GB2312" w:eastAsia="仿宋_GB2312" w:cs="仿宋_GB2312"/>
          <w:sz w:val="32"/>
          <w:szCs w:val="32"/>
        </w:rPr>
        <w:t>前将</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 xml:space="preserve"> 许昌市财政综合大楼9楼</w:t>
      </w:r>
      <w:r>
        <w:rPr>
          <w:rFonts w:hint="eastAsia" w:ascii="仿宋_GB2312" w:hAnsi="仿宋_GB2312" w:eastAsia="仿宋_GB2312" w:cs="仿宋_GB2312"/>
          <w:sz w:val="32"/>
          <w:szCs w:val="32"/>
        </w:rPr>
        <w:t>。</w:t>
      </w:r>
    </w:p>
    <w:p w14:paraId="24EEE0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rPr>
        <w:t>办法</w:t>
      </w:r>
    </w:p>
    <w:p w14:paraId="21D848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14:paraId="3535C1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人组成的磋商小组进行磋商确定。</w:t>
      </w:r>
    </w:p>
    <w:p w14:paraId="4F05518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14:paraId="0D919E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52C3B2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eastAsia="zh-CN"/>
        </w:rPr>
        <w:t>会计师</w:t>
      </w:r>
      <w:r>
        <w:rPr>
          <w:rFonts w:hint="eastAsia" w:ascii="仿宋_GB2312" w:hAnsi="仿宋_GB2312" w:eastAsia="仿宋_GB2312" w:cs="仿宋_GB2312"/>
          <w:sz w:val="32"/>
          <w:szCs w:val="32"/>
        </w:rPr>
        <w:t>事务所。</w:t>
      </w:r>
    </w:p>
    <w:p w14:paraId="53D42E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八、比选控制价</w:t>
      </w:r>
    </w:p>
    <w:p w14:paraId="248FDA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根据第三方机构出具的控制价报告，本次比选人</w:t>
      </w:r>
      <w:r>
        <w:rPr>
          <w:rFonts w:hint="eastAsia" w:ascii="仿宋_GB2312" w:hAnsi="仿宋_GB2312" w:eastAsia="仿宋_GB2312" w:cs="仿宋_GB2312"/>
          <w:sz w:val="32"/>
          <w:szCs w:val="32"/>
          <w:highlight w:val="none"/>
          <w:lang w:val="en-US" w:eastAsia="zh-CN"/>
        </w:rPr>
        <w:t>审计</w:t>
      </w:r>
      <w:r>
        <w:rPr>
          <w:rFonts w:hint="eastAsia" w:ascii="仿宋_GB2312" w:hAnsi="仿宋_GB2312" w:eastAsia="仿宋_GB2312" w:cs="仿宋_GB2312"/>
          <w:sz w:val="32"/>
          <w:szCs w:val="32"/>
          <w:highlight w:val="none"/>
          <w:lang w:eastAsia="zh-CN"/>
        </w:rPr>
        <w:t>服务比选控制价为不高于</w:t>
      </w:r>
      <w:r>
        <w:rPr>
          <w:rFonts w:hint="eastAsia" w:ascii="仿宋_GB2312" w:hAnsi="仿宋_GB2312" w:eastAsia="仿宋_GB2312" w:cs="仿宋_GB2312"/>
          <w:sz w:val="32"/>
          <w:szCs w:val="32"/>
          <w:highlight w:val="none"/>
          <w:lang w:val="en-US" w:eastAsia="zh-CN"/>
        </w:rPr>
        <w:t>28万元。</w:t>
      </w:r>
    </w:p>
    <w:p w14:paraId="689766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本次比选公告在许昌市城投发展集团有限公司官网（网</w:t>
      </w:r>
      <w:r>
        <w:rPr>
          <w:rFonts w:hint="eastAsia" w:ascii="仿宋_GB2312" w:hAnsi="仿宋_GB2312" w:eastAsia="仿宋_GB2312" w:cs="仿宋_GB2312"/>
          <w:sz w:val="32"/>
          <w:szCs w:val="32"/>
          <w:lang w:eastAsia="zh-CN"/>
        </w:rPr>
        <w:t>站地址：www.xcsct.cn）发布。</w:t>
      </w:r>
    </w:p>
    <w:p w14:paraId="01EEAC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bookmarkStart w:id="0" w:name="_Toc35393795"/>
      <w:bookmarkEnd w:id="0"/>
      <w:bookmarkStart w:id="1" w:name="_Toc28359085"/>
      <w:bookmarkEnd w:id="1"/>
      <w:bookmarkStart w:id="2" w:name="_Toc28359008"/>
      <w:bookmarkEnd w:id="2"/>
      <w:bookmarkStart w:id="3" w:name="_Toc35393796"/>
      <w:bookmarkEnd w:id="3"/>
      <w:bookmarkStart w:id="4" w:name="_Toc35393627"/>
      <w:bookmarkEnd w:id="4"/>
      <w:bookmarkStart w:id="5" w:name="_Toc35393626"/>
      <w:bookmarkEnd w:id="5"/>
      <w:r>
        <w:rPr>
          <w:rFonts w:hint="eastAsia" w:ascii="仿宋_GB2312" w:hAnsi="仿宋_GB2312" w:eastAsia="仿宋_GB2312" w:cs="仿宋_GB2312"/>
          <w:b/>
          <w:bCs w:val="0"/>
          <w:sz w:val="32"/>
          <w:szCs w:val="32"/>
          <w:lang w:val="en-US" w:eastAsia="zh-CN"/>
        </w:rPr>
        <w:t>十、联系方式</w:t>
      </w:r>
    </w:p>
    <w:p w14:paraId="764E1F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比选人</w:t>
      </w:r>
      <w:r>
        <w:rPr>
          <w:rFonts w:hint="eastAsia" w:ascii="仿宋_GB2312" w:hAnsi="仿宋_GB2312" w:eastAsia="仿宋_GB2312" w:cs="仿宋_GB2312"/>
          <w:b w:val="0"/>
          <w:bCs/>
          <w:sz w:val="32"/>
          <w:szCs w:val="32"/>
          <w:lang w:val="en-GB" w:eastAsia="zh-CN"/>
        </w:rPr>
        <w:t>：</w:t>
      </w:r>
      <w:r>
        <w:rPr>
          <w:rFonts w:hint="eastAsia" w:ascii="仿宋_GB2312" w:hAnsi="仿宋_GB2312" w:eastAsia="仿宋_GB2312" w:cs="仿宋_GB2312"/>
          <w:b w:val="0"/>
          <w:bCs/>
          <w:sz w:val="32"/>
          <w:szCs w:val="32"/>
          <w:lang w:val="en-US" w:eastAsia="zh-CN"/>
        </w:rPr>
        <w:t>许昌市城投发展集团有限公司</w:t>
      </w:r>
    </w:p>
    <w:p w14:paraId="36E5CA8C">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pacing w:val="20"/>
          <w:sz w:val="32"/>
          <w:szCs w:val="32"/>
          <w:lang w:val="en-GB" w:eastAsia="zh-CN"/>
        </w:rPr>
        <w:t>地</w:t>
      </w:r>
      <w:r>
        <w:rPr>
          <w:rFonts w:hint="eastAsia" w:ascii="仿宋_GB2312" w:hAnsi="仿宋_GB2312" w:eastAsia="仿宋_GB2312" w:cs="仿宋_GB2312"/>
          <w:b w:val="0"/>
          <w:bCs/>
          <w:spacing w:val="20"/>
          <w:sz w:val="32"/>
          <w:szCs w:val="32"/>
          <w:lang w:eastAsia="zh-CN"/>
        </w:rPr>
        <w:t xml:space="preserve">    </w:t>
      </w:r>
      <w:r>
        <w:rPr>
          <w:rFonts w:hint="eastAsia" w:ascii="仿宋_GB2312" w:hAnsi="仿宋_GB2312" w:eastAsia="仿宋_GB2312" w:cs="仿宋_GB2312"/>
          <w:b w:val="0"/>
          <w:bCs/>
          <w:spacing w:val="20"/>
          <w:sz w:val="32"/>
          <w:szCs w:val="32"/>
          <w:lang w:val="en-GB" w:eastAsia="zh-CN"/>
        </w:rPr>
        <w:t>址：</w:t>
      </w:r>
      <w:r>
        <w:rPr>
          <w:rFonts w:hint="eastAsia" w:ascii="仿宋_GB2312" w:hAnsi="仿宋_GB2312" w:eastAsia="仿宋_GB2312" w:cs="仿宋_GB2312"/>
          <w:b w:val="0"/>
          <w:bCs/>
          <w:spacing w:val="20"/>
          <w:sz w:val="32"/>
          <w:szCs w:val="32"/>
          <w:lang w:val="en-US" w:eastAsia="zh-CN"/>
        </w:rPr>
        <w:t>许昌市财政综合大楼9楼</w:t>
      </w:r>
      <w:r>
        <w:rPr>
          <w:rFonts w:hint="eastAsia" w:ascii="仿宋_GB2312" w:hAnsi="仿宋_GB2312" w:eastAsia="仿宋_GB2312" w:cs="仿宋_GB2312"/>
          <w:b w:val="0"/>
          <w:bCs/>
          <w:sz w:val="32"/>
          <w:szCs w:val="32"/>
          <w:lang w:val="en-US" w:eastAsia="zh-CN"/>
        </w:rPr>
        <w:t xml:space="preserve">  </w:t>
      </w:r>
    </w:p>
    <w:p w14:paraId="5F6C3187">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lang w:val="en-GB" w:eastAsia="zh-CN"/>
        </w:rPr>
      </w:pPr>
      <w:r>
        <w:rPr>
          <w:rFonts w:hint="eastAsia" w:ascii="仿宋_GB2312" w:hAnsi="仿宋_GB2312" w:eastAsia="仿宋_GB2312" w:cs="仿宋_GB2312"/>
          <w:b w:val="0"/>
          <w:bCs/>
          <w:spacing w:val="20"/>
          <w:sz w:val="32"/>
          <w:szCs w:val="32"/>
          <w:lang w:val="en-GB" w:eastAsia="zh-CN"/>
        </w:rPr>
        <w:t>联 系 人：</w:t>
      </w:r>
      <w:r>
        <w:rPr>
          <w:rFonts w:hint="eastAsia" w:ascii="仿宋_GB2312" w:hAnsi="仿宋_GB2312" w:eastAsia="仿宋_GB2312" w:cs="仿宋_GB2312"/>
          <w:b w:val="0"/>
          <w:bCs/>
          <w:spacing w:val="20"/>
          <w:sz w:val="32"/>
          <w:szCs w:val="32"/>
          <w:lang w:val="en-US" w:eastAsia="zh-CN"/>
        </w:rPr>
        <w:t>张女士</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val="en-GB" w:eastAsia="zh-CN"/>
        </w:rPr>
        <w:t xml:space="preserve">        </w:t>
      </w:r>
    </w:p>
    <w:p w14:paraId="6E02D45D">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pacing w:val="20"/>
          <w:sz w:val="32"/>
          <w:szCs w:val="32"/>
          <w:lang w:val="en-GB" w:eastAsia="zh-CN"/>
        </w:rPr>
        <w:t>联系电话：</w:t>
      </w:r>
      <w:r>
        <w:rPr>
          <w:rFonts w:hint="eastAsia" w:ascii="仿宋_GB2312" w:hAnsi="仿宋_GB2312" w:eastAsia="仿宋_GB2312" w:cs="仿宋_GB2312"/>
          <w:b w:val="0"/>
          <w:bCs/>
          <w:sz w:val="32"/>
          <w:szCs w:val="32"/>
          <w:lang w:val="en-US" w:eastAsia="zh-CN"/>
        </w:rPr>
        <w:t>0374-2699026</w:t>
      </w:r>
    </w:p>
    <w:p w14:paraId="7D9C5E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监督</w:t>
      </w:r>
      <w:r>
        <w:rPr>
          <w:rFonts w:hint="eastAsia" w:ascii="仿宋_GB2312" w:hAnsi="仿宋_GB2312" w:eastAsia="仿宋_GB2312" w:cs="仿宋_GB2312"/>
          <w:b w:val="0"/>
          <w:bCs/>
          <w:sz w:val="32"/>
          <w:szCs w:val="32"/>
          <w:lang w:val="en-GB" w:eastAsia="zh-CN"/>
        </w:rPr>
        <w:t>电话：</w:t>
      </w:r>
      <w:r>
        <w:rPr>
          <w:rFonts w:hint="eastAsia" w:ascii="仿宋_GB2312" w:hAnsi="仿宋_GB2312" w:eastAsia="仿宋_GB2312" w:cs="仿宋_GB2312"/>
          <w:b w:val="0"/>
          <w:bCs/>
          <w:sz w:val="32"/>
          <w:szCs w:val="32"/>
          <w:lang w:val="en-US" w:eastAsia="zh-CN"/>
        </w:rPr>
        <w:t>0374-2699156</w:t>
      </w:r>
    </w:p>
    <w:p w14:paraId="5AFE26AA">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39B0E7FE">
      <w:pPr>
        <w:pStyle w:val="26"/>
        <w:rPr>
          <w:rFonts w:hint="eastAsia" w:ascii="仿宋" w:hAnsi="仿宋" w:eastAsia="仿宋" w:cs="仿宋"/>
          <w:b/>
          <w:bCs/>
          <w:color w:val="auto"/>
          <w:sz w:val="24"/>
          <w:szCs w:val="24"/>
        </w:rPr>
      </w:pPr>
    </w:p>
    <w:p w14:paraId="317EDA3E">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56F8C340">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5FEC27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TW"/>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、本项目需实现的功能或者目标</w:t>
      </w:r>
    </w:p>
    <w:p w14:paraId="6CD540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出具比选人下属公司融资过程中所需的财务报告，协助比选人下属公司完</w:t>
      </w:r>
      <w:r>
        <w:rPr>
          <w:rFonts w:hint="eastAsia" w:ascii="仿宋_GB2312" w:hAnsi="仿宋_GB2312" w:eastAsia="仿宋_GB2312" w:cs="仿宋_GB2312"/>
          <w:sz w:val="32"/>
          <w:szCs w:val="32"/>
          <w:lang w:val="en-US" w:eastAsia="zh-CN"/>
        </w:rPr>
        <w:t>成融资授信工作，提供有关财务指标的解释说明。</w:t>
      </w:r>
    </w:p>
    <w:p w14:paraId="378755A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u w:val="none"/>
          <w:lang w:val="zh-CN"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w:t>
      </w:r>
      <w:r>
        <w:rPr>
          <w:rFonts w:hint="eastAsia" w:ascii="仿宋_GB2312" w:hAnsi="仿宋_GB2312" w:eastAsia="仿宋_GB2312" w:cs="仿宋_GB2312"/>
          <w:b/>
          <w:bCs/>
          <w:sz w:val="32"/>
          <w:szCs w:val="32"/>
          <w:u w:val="none"/>
          <w:lang w:eastAsia="zh-CN"/>
        </w:rPr>
        <w:t>限于）</w:t>
      </w:r>
    </w:p>
    <w:p w14:paraId="671018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1.根据融资需要，每年提供金融机构认可的财务报表及具有连贯性的上年度审计报告；</w:t>
      </w:r>
    </w:p>
    <w:p w14:paraId="55EF8B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2.对融资所需的财务报表提供科目明细及附注；</w:t>
      </w:r>
    </w:p>
    <w:p w14:paraId="7AA9CB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融资</w:t>
      </w:r>
      <w:r>
        <w:rPr>
          <w:rFonts w:hint="eastAsia" w:ascii="仿宋_GB2312" w:hAnsi="仿宋_GB2312" w:eastAsia="仿宋_GB2312" w:cs="仿宋_GB2312"/>
          <w:sz w:val="32"/>
          <w:szCs w:val="32"/>
          <w:highlight w:val="none"/>
        </w:rPr>
        <w:t>过程中根据需要提供</w:t>
      </w:r>
      <w:r>
        <w:rPr>
          <w:rFonts w:hint="eastAsia" w:ascii="仿宋_GB2312" w:hAnsi="仿宋_GB2312" w:eastAsia="仿宋_GB2312" w:cs="仿宋_GB2312"/>
          <w:sz w:val="32"/>
          <w:szCs w:val="32"/>
          <w:highlight w:val="none"/>
          <w:lang w:eastAsia="zh-CN"/>
        </w:rPr>
        <w:t>会计事项咨询</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w:t>
      </w:r>
    </w:p>
    <w:p w14:paraId="7724FD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u w:val="none"/>
          <w:lang w:eastAsia="zh-TW"/>
        </w:rPr>
      </w:pPr>
      <w:r>
        <w:rPr>
          <w:rFonts w:hint="eastAsia" w:ascii="仿宋_GB2312" w:hAnsi="仿宋_GB2312" w:eastAsia="仿宋_GB2312" w:cs="仿宋_GB2312"/>
          <w:b/>
          <w:bCs/>
          <w:sz w:val="32"/>
          <w:szCs w:val="32"/>
          <w:u w:val="none"/>
          <w:lang w:val="en-US" w:eastAsia="zh-CN"/>
        </w:rPr>
        <w:t>三、</w:t>
      </w:r>
      <w:r>
        <w:rPr>
          <w:rFonts w:hint="eastAsia" w:ascii="仿宋_GB2312" w:hAnsi="仿宋_GB2312" w:eastAsia="仿宋_GB2312" w:cs="仿宋_GB2312"/>
          <w:b/>
          <w:bCs/>
          <w:sz w:val="32"/>
          <w:szCs w:val="32"/>
          <w:u w:val="none"/>
          <w:lang w:eastAsia="zh-TW"/>
        </w:rPr>
        <w:t>服务标准、期限、效率等要求</w:t>
      </w:r>
    </w:p>
    <w:p w14:paraId="091970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根据融资授信要求在规定时间内完成财务报告出具工作及相关财务指标解释工作，不得延长服务时间。</w:t>
      </w:r>
    </w:p>
    <w:p w14:paraId="033976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以上技术要求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14:paraId="740D9E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比选人</w:t>
      </w:r>
      <w:r>
        <w:rPr>
          <w:rFonts w:hint="eastAsia" w:ascii="仿宋_GB2312" w:hAnsi="仿宋_GB2312" w:eastAsia="仿宋_GB2312" w:cs="仿宋_GB2312"/>
          <w:sz w:val="32"/>
          <w:szCs w:val="32"/>
          <w:lang w:eastAsia="zh-TW"/>
        </w:rPr>
        <w:t>造成经济损失的，应当依法赔偿</w:t>
      </w:r>
      <w:r>
        <w:rPr>
          <w:rFonts w:hint="eastAsia" w:ascii="仿宋_GB2312" w:hAnsi="仿宋_GB2312" w:eastAsia="仿宋_GB2312" w:cs="仿宋_GB2312"/>
          <w:sz w:val="32"/>
          <w:szCs w:val="32"/>
          <w:lang w:eastAsia="zh-CN"/>
        </w:rPr>
        <w:t>。</w:t>
      </w:r>
    </w:p>
    <w:p w14:paraId="01F691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TW"/>
        </w:rPr>
        <w:t>釆购标的的其他技术、服务等要求</w:t>
      </w:r>
    </w:p>
    <w:p w14:paraId="3687DF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应就</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TW"/>
        </w:rPr>
        <w:t>项目（每包或者标段）完整投标。</w:t>
      </w:r>
    </w:p>
    <w:p w14:paraId="57404C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TW"/>
        </w:rPr>
        <w:t>本项目为交钥匙工程，包含</w:t>
      </w:r>
      <w:r>
        <w:rPr>
          <w:rFonts w:hint="eastAsia" w:ascii="仿宋_GB2312" w:hAnsi="仿宋_GB2312" w:eastAsia="仿宋_GB2312" w:cs="仿宋_GB2312"/>
          <w:sz w:val="32"/>
          <w:szCs w:val="32"/>
          <w:lang w:eastAsia="zh-CN"/>
        </w:rPr>
        <w:t>比选人</w:t>
      </w:r>
      <w:r>
        <w:rPr>
          <w:rFonts w:hint="eastAsia" w:ascii="仿宋_GB2312" w:hAnsi="仿宋_GB2312" w:eastAsia="仿宋_GB2312" w:cs="仿宋_GB2312"/>
          <w:sz w:val="32"/>
          <w:szCs w:val="32"/>
          <w:lang w:val="en-US" w:eastAsia="zh-CN"/>
        </w:rPr>
        <w:t>专项审计服务</w:t>
      </w:r>
      <w:r>
        <w:rPr>
          <w:rFonts w:hint="eastAsia" w:ascii="仿宋_GB2312" w:hAnsi="仿宋_GB2312" w:eastAsia="仿宋_GB2312" w:cs="仿宋_GB2312"/>
          <w:sz w:val="32"/>
          <w:szCs w:val="32"/>
          <w:lang w:eastAsia="zh-TW"/>
        </w:rPr>
        <w:t>一切费用。</w:t>
      </w:r>
    </w:p>
    <w:p w14:paraId="5E6DE5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验收标准</w:t>
      </w:r>
    </w:p>
    <w:p w14:paraId="23E6D8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为比选人出具的</w:t>
      </w:r>
      <w:r>
        <w:rPr>
          <w:rFonts w:hint="eastAsia" w:ascii="仿宋_GB2312" w:hAnsi="仿宋_GB2312" w:eastAsia="仿宋_GB2312" w:cs="仿宋_GB2312"/>
          <w:sz w:val="32"/>
          <w:szCs w:val="32"/>
          <w:u w:val="none"/>
          <w:lang w:val="en-US" w:eastAsia="zh-CN"/>
        </w:rPr>
        <w:t>财务报告经金融机构认可</w:t>
      </w:r>
      <w:r>
        <w:rPr>
          <w:rFonts w:hint="eastAsia" w:ascii="仿宋_GB2312" w:hAnsi="仿宋_GB2312" w:eastAsia="仿宋_GB2312" w:cs="仿宋_GB2312"/>
          <w:sz w:val="32"/>
          <w:szCs w:val="32"/>
          <w:u w:val="none"/>
          <w:lang w:eastAsia="zh-CN"/>
        </w:rPr>
        <w:t>，同意比选人使用。</w:t>
      </w:r>
    </w:p>
    <w:p w14:paraId="429FB5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sz w:val="32"/>
          <w:szCs w:val="32"/>
          <w:lang w:val="zh-CN" w:eastAsia="zh-CN"/>
        </w:rPr>
        <w:t>本项目审计服务费最高限</w:t>
      </w:r>
      <w:r>
        <w:rPr>
          <w:rFonts w:hint="eastAsia" w:ascii="仿宋_GB2312" w:hAnsi="仿宋_GB2312" w:eastAsia="仿宋_GB2312" w:cs="仿宋_GB2312"/>
          <w:sz w:val="32"/>
          <w:szCs w:val="32"/>
          <w:highlight w:val="none"/>
          <w:lang w:val="zh-CN" w:eastAsia="zh-CN"/>
        </w:rPr>
        <w:t>价为</w:t>
      </w:r>
      <w:r>
        <w:rPr>
          <w:rFonts w:hint="eastAsia" w:ascii="仿宋_GB2312" w:hAnsi="仿宋_GB2312" w:eastAsia="仿宋_GB2312" w:cs="仿宋_GB2312"/>
          <w:sz w:val="32"/>
          <w:szCs w:val="32"/>
          <w:highlight w:val="none"/>
          <w:lang w:val="en-US" w:eastAsia="zh-CN"/>
        </w:rPr>
        <w:t>28万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lang w:val="zh-CN" w:eastAsia="zh-CN"/>
        </w:rPr>
        <w:t>，超出最高限价的投标报价无效。</w:t>
      </w:r>
    </w:p>
    <w:p w14:paraId="5A299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val="zh-CN" w:eastAsia="zh-CN"/>
        </w:rPr>
        <w:t>资金支付</w:t>
      </w:r>
    </w:p>
    <w:p w14:paraId="40DABE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14:paraId="5A9DCB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支付时间及条件：根据签订的《审计服务合同》约定执行。</w:t>
      </w:r>
    </w:p>
    <w:p w14:paraId="58E94F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644E7E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17BEBD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5F8134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22C248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698FB2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510ACA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257A1A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70CC4D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51C505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01502B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54816D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173975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7B2E9B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7BB36C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p>
    <w:p w14:paraId="19985F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bookmarkStart w:id="9" w:name="_GoBack"/>
      <w:bookmarkEnd w:id="9"/>
    </w:p>
    <w:p w14:paraId="3AD0148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28"/>
        <w:tblW w:w="9887" w:type="dxa"/>
        <w:jc w:val="center"/>
        <w:tblLayout w:type="fixed"/>
        <w:tblCellMar>
          <w:top w:w="0" w:type="dxa"/>
          <w:left w:w="108" w:type="dxa"/>
          <w:bottom w:w="0" w:type="dxa"/>
          <w:right w:w="108" w:type="dxa"/>
        </w:tblCellMar>
      </w:tblPr>
      <w:tblGrid>
        <w:gridCol w:w="753"/>
        <w:gridCol w:w="1986"/>
        <w:gridCol w:w="7148"/>
      </w:tblGrid>
      <w:tr w14:paraId="20E58D6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7158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30853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7152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953AFA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AC730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4DF62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39F3E6">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项目名称：</w:t>
            </w:r>
            <w:r>
              <w:rPr>
                <w:rFonts w:hint="eastAsia" w:ascii="仿宋" w:hAnsi="仿宋" w:eastAsia="仿宋" w:cs="仿宋"/>
                <w:color w:val="auto"/>
                <w:sz w:val="24"/>
                <w:szCs w:val="24"/>
                <w:lang w:val="en-US" w:eastAsia="zh-CN"/>
              </w:rPr>
              <w:t>许昌市城投发展集团有限公司</w:t>
            </w:r>
            <w:r>
              <w:rPr>
                <w:rFonts w:hint="eastAsia" w:ascii="仿宋" w:hAnsi="仿宋" w:eastAsia="仿宋" w:cs="仿宋"/>
                <w:color w:val="auto"/>
                <w:sz w:val="24"/>
                <w:szCs w:val="24"/>
                <w:lang w:val="zh-CN" w:eastAsia="zh-CN"/>
              </w:rPr>
              <w:t>专项审计服务会计师事务所比选</w:t>
            </w:r>
            <w:r>
              <w:rPr>
                <w:rFonts w:hint="eastAsia" w:ascii="仿宋" w:hAnsi="仿宋" w:eastAsia="仿宋" w:cs="仿宋"/>
                <w:color w:val="auto"/>
                <w:sz w:val="24"/>
                <w:szCs w:val="24"/>
                <w:lang w:val="en-US" w:eastAsia="zh-CN"/>
              </w:rPr>
              <w:t>项目</w:t>
            </w:r>
          </w:p>
          <w:p w14:paraId="1E58C28C">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项目内容：根据融资需要，提供</w:t>
            </w:r>
            <w:r>
              <w:rPr>
                <w:rFonts w:hint="eastAsia" w:ascii="仿宋" w:hAnsi="仿宋" w:eastAsia="仿宋" w:cs="仿宋"/>
                <w:color w:val="auto"/>
                <w:sz w:val="24"/>
                <w:szCs w:val="24"/>
                <w:lang w:val="en-US" w:eastAsia="zh-CN"/>
              </w:rPr>
              <w:t>经</w:t>
            </w:r>
            <w:r>
              <w:rPr>
                <w:rFonts w:hint="eastAsia" w:ascii="仿宋" w:hAnsi="仿宋" w:eastAsia="仿宋" w:cs="仿宋"/>
                <w:color w:val="auto"/>
                <w:sz w:val="24"/>
                <w:szCs w:val="24"/>
                <w:lang w:val="zh-CN" w:eastAsia="zh-CN"/>
              </w:rPr>
              <w:t>金融机构认可的财务报表及具有连贯性的上年度审计报告</w:t>
            </w:r>
            <w:r>
              <w:rPr>
                <w:rFonts w:hint="eastAsia" w:ascii="仿宋" w:hAnsi="仿宋" w:eastAsia="仿宋" w:cs="仿宋"/>
                <w:color w:val="auto"/>
                <w:sz w:val="24"/>
                <w:szCs w:val="24"/>
                <w:lang w:val="en-US" w:eastAsia="zh-CN"/>
              </w:rPr>
              <w:t>。</w:t>
            </w:r>
          </w:p>
        </w:tc>
      </w:tr>
      <w:tr w14:paraId="529162B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7F3C6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75D15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4540A3">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color w:val="auto"/>
                <w:sz w:val="24"/>
                <w:szCs w:val="24"/>
                <w:lang w:val="en-US" w:eastAsia="zh-CN"/>
              </w:rPr>
              <w:t>许昌市城投发展集团有限公司</w:t>
            </w:r>
          </w:p>
          <w:p w14:paraId="0FEE6D1A">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 xml:space="preserve">许昌市财政综合大楼9楼 </w:t>
            </w:r>
          </w:p>
          <w:p w14:paraId="21ADB3B1">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 xml:space="preserve">张女士 </w:t>
            </w:r>
            <w:r>
              <w:rPr>
                <w:rFonts w:hint="eastAsia" w:ascii="仿宋" w:hAnsi="仿宋" w:eastAsia="仿宋" w:cs="仿宋"/>
                <w:bCs/>
                <w:color w:val="auto"/>
                <w:sz w:val="24"/>
                <w:szCs w:val="24"/>
                <w:highlight w:val="none"/>
                <w:lang w:eastAsia="zh-CN"/>
              </w:rPr>
              <w:t xml:space="preserve">          </w:t>
            </w:r>
          </w:p>
          <w:p w14:paraId="1858C68D">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color w:val="auto"/>
                <w:sz w:val="24"/>
                <w:szCs w:val="24"/>
                <w:highlight w:val="none"/>
                <w:lang w:val="en-US" w:eastAsia="zh-CN"/>
              </w:rPr>
              <w:t xml:space="preserve"> </w:t>
            </w:r>
          </w:p>
        </w:tc>
      </w:tr>
      <w:tr w14:paraId="226AE05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F2B475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39531B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6A6E9">
            <w:pPr>
              <w:numPr>
                <w:ilvl w:val="0"/>
                <w:numId w:val="4"/>
              </w:numPr>
              <w:snapToGrid w:val="0"/>
              <w:spacing w:line="520" w:lineRule="exac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14:paraId="6B9BB1F0">
            <w:pPr>
              <w:numPr>
                <w:ilvl w:val="0"/>
                <w:numId w:val="4"/>
              </w:numPr>
              <w:snapToGrid w:val="0"/>
              <w:spacing w:line="520" w:lineRule="exac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14:paraId="0C4A2225">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1、在中华人民共和国境内注册，持有合法有效的企业营业执照、会计事务所执业证书等证件；</w:t>
            </w:r>
          </w:p>
          <w:p w14:paraId="149693C0">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2、近三年未因重大的执业质量等问题被责令停业，没有处于破产或存在其他违法行为；</w:t>
            </w:r>
          </w:p>
          <w:p w14:paraId="012DBDB5">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3、未被列入经营异常名录或者严重违法失信名单、失信被执行人，重大税收违法案件当事人名单、政府采购严重违法失信行为记录名单。</w:t>
            </w:r>
          </w:p>
        </w:tc>
      </w:tr>
      <w:tr w14:paraId="5CC90F6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59FD71">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584B20">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10DE9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8C2B28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C80A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EABEAC">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eastAsia="zh-CN"/>
              </w:rPr>
              <w:t>审计服务费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3D4B79">
            <w:pPr>
              <w:numPr>
                <w:ilvl w:val="0"/>
                <w:numId w:val="5"/>
              </w:numPr>
              <w:autoSpaceDE w:val="0"/>
              <w:autoSpaceDN w:val="0"/>
              <w:adjustRightInd w:val="0"/>
              <w:spacing w:line="540" w:lineRule="exact"/>
              <w:rPr>
                <w:rFonts w:hint="eastAsia" w:ascii="仿宋" w:hAnsi="仿宋" w:eastAsia="仿宋" w:cs="仿宋"/>
                <w:color w:val="auto"/>
                <w:sz w:val="24"/>
                <w:szCs w:val="24"/>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lang w:val="zh-CN" w:eastAsia="zh-CN"/>
              </w:rPr>
              <w:t>本项目审计服务费最高限</w:t>
            </w:r>
            <w:r>
              <w:rPr>
                <w:rFonts w:hint="eastAsia" w:ascii="仿宋" w:hAnsi="仿宋" w:eastAsia="仿宋" w:cs="仿宋"/>
                <w:color w:val="auto"/>
                <w:sz w:val="24"/>
                <w:szCs w:val="24"/>
                <w:highlight w:val="none"/>
                <w:lang w:val="zh-CN" w:eastAsia="zh-CN"/>
              </w:rPr>
              <w:t>价为</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lang w:val="en-US" w:eastAsia="zh-CN"/>
              </w:rPr>
              <w:t>万元</w:t>
            </w:r>
            <w:r>
              <w:rPr>
                <w:rFonts w:hint="eastAsia" w:ascii="仿宋" w:hAnsi="仿宋" w:eastAsia="仿宋" w:cs="仿宋"/>
                <w:color w:val="auto"/>
                <w:sz w:val="24"/>
                <w:szCs w:val="24"/>
                <w:lang w:val="zh-CN" w:eastAsia="zh-CN"/>
              </w:rPr>
              <w:t>，超出最高限价的投标报价无效。</w:t>
            </w:r>
          </w:p>
          <w:p w14:paraId="41F9434D">
            <w:pPr>
              <w:numPr>
                <w:ilvl w:val="0"/>
                <w:numId w:val="5"/>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eastAsia="zh-CN"/>
              </w:rPr>
              <w:t>整体报价。</w:t>
            </w:r>
          </w:p>
          <w:p w14:paraId="49A505F3">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727D645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A957F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1A9CF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AFA6E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70D2323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3E9F39B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19598C">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FEE500">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CCC48A">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42B11100">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5BB1520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961968">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D92F6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DEB8E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90天（自提交投标文件的截止之日起算）</w:t>
            </w:r>
          </w:p>
          <w:p w14:paraId="7FC2583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1586AB1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FC69E0">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E28074">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DA3CD8">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6D42B43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A2CB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7C84CD">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E0069">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18</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00</w:t>
            </w:r>
            <w:r>
              <w:rPr>
                <w:rFonts w:hint="eastAsia" w:ascii="仿宋" w:hAnsi="仿宋" w:eastAsia="仿宋" w:cs="仿宋"/>
                <w:bCs/>
                <w:color w:val="auto"/>
                <w:sz w:val="24"/>
                <w:szCs w:val="24"/>
                <w:highlight w:val="none"/>
                <w:lang w:val="zh-CN"/>
              </w:rPr>
              <w:t>分（北京时间）</w:t>
            </w:r>
          </w:p>
        </w:tc>
      </w:tr>
      <w:tr w14:paraId="1B410FB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FF26B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D5988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ADFDC9">
            <w:pPr>
              <w:autoSpaceDE w:val="0"/>
              <w:autoSpaceDN w:val="0"/>
              <w:adjustRightInd w:val="0"/>
              <w:spacing w:line="360" w:lineRule="auto"/>
              <w:ind w:right="-11"/>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许昌市财政综合大楼八楼会议室</w:t>
            </w:r>
          </w:p>
        </w:tc>
      </w:tr>
      <w:tr w14:paraId="3E02A3F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89727F">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65BDD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9C4C71">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14:paraId="2DBE257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A4A93C">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A4B03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53EF6E">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val="zh-CN"/>
              </w:rPr>
              <w:t>纸质投标文件：纸质版投标文件正本1份（需胶装）</w:t>
            </w:r>
          </w:p>
        </w:tc>
      </w:tr>
      <w:tr w14:paraId="716B74D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042CB">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6F29C8">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149CCE">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39AAAE91">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023BE21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B26C1A">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D19F2C">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82769">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3B0ECD1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6CC6E">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EA3227">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D42A35">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bl>
    <w:p w14:paraId="2F39323A">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795E702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4CD599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328789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确定符合资格的投标人不少于3家后对投标文件进行符合性审查。</w:t>
      </w:r>
    </w:p>
    <w:p w14:paraId="3C811A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14:paraId="39A01F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（2）资格审查中所涉及到的证书及材料，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14:paraId="4A8FC6A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CFED7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14:paraId="10399C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14:paraId="11CE8F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268"/>
        <w:gridCol w:w="4117"/>
        <w:gridCol w:w="1462"/>
      </w:tblGrid>
      <w:tr w14:paraId="0284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75" w:type="dxa"/>
            <w:noWrap w:val="0"/>
            <w:vAlign w:val="center"/>
          </w:tcPr>
          <w:p w14:paraId="4E20929A">
            <w:pPr>
              <w:tabs>
                <w:tab w:val="left" w:pos="622"/>
              </w:tabs>
              <w:jc w:val="center"/>
              <w:rPr>
                <w:rFonts w:hint="eastAsia" w:ascii="宋体" w:hAnsi="宋体"/>
                <w:b/>
                <w:sz w:val="30"/>
                <w:szCs w:val="30"/>
              </w:rPr>
            </w:pPr>
            <w:r>
              <w:rPr>
                <w:rFonts w:hint="eastAsia" w:ascii="宋体" w:hAnsi="宋体"/>
                <w:b/>
                <w:sz w:val="30"/>
                <w:szCs w:val="30"/>
              </w:rPr>
              <w:t>评分项目</w:t>
            </w:r>
          </w:p>
        </w:tc>
        <w:tc>
          <w:tcPr>
            <w:tcW w:w="1268" w:type="dxa"/>
            <w:noWrap w:val="0"/>
            <w:vAlign w:val="center"/>
          </w:tcPr>
          <w:p w14:paraId="585E2BED">
            <w:pPr>
              <w:tabs>
                <w:tab w:val="left" w:pos="622"/>
              </w:tabs>
              <w:jc w:val="center"/>
              <w:rPr>
                <w:rFonts w:hint="eastAsia" w:ascii="宋体" w:hAnsi="宋体"/>
                <w:b/>
                <w:sz w:val="30"/>
                <w:szCs w:val="30"/>
              </w:rPr>
            </w:pPr>
            <w:r>
              <w:rPr>
                <w:rFonts w:hint="eastAsia" w:ascii="宋体" w:hAnsi="宋体"/>
                <w:b/>
                <w:sz w:val="30"/>
                <w:szCs w:val="30"/>
              </w:rPr>
              <w:t>分值</w:t>
            </w:r>
          </w:p>
        </w:tc>
        <w:tc>
          <w:tcPr>
            <w:tcW w:w="4117" w:type="dxa"/>
            <w:noWrap w:val="0"/>
            <w:vAlign w:val="center"/>
          </w:tcPr>
          <w:p w14:paraId="41E499ED">
            <w:pPr>
              <w:tabs>
                <w:tab w:val="left" w:pos="622"/>
              </w:tabs>
              <w:jc w:val="center"/>
              <w:rPr>
                <w:rFonts w:hint="eastAsia" w:ascii="宋体" w:hAnsi="宋体"/>
                <w:b/>
                <w:sz w:val="30"/>
                <w:szCs w:val="30"/>
              </w:rPr>
            </w:pPr>
            <w:r>
              <w:rPr>
                <w:rFonts w:hint="eastAsia" w:ascii="宋体" w:hAnsi="宋体"/>
                <w:b/>
                <w:sz w:val="30"/>
                <w:szCs w:val="30"/>
              </w:rPr>
              <w:t>评分标准</w:t>
            </w:r>
          </w:p>
        </w:tc>
        <w:tc>
          <w:tcPr>
            <w:tcW w:w="1462" w:type="dxa"/>
            <w:noWrap w:val="0"/>
            <w:vAlign w:val="center"/>
          </w:tcPr>
          <w:p w14:paraId="6C533224">
            <w:pPr>
              <w:tabs>
                <w:tab w:val="left" w:pos="622"/>
              </w:tabs>
              <w:jc w:val="center"/>
              <w:rPr>
                <w:rFonts w:hint="eastAsia" w:ascii="宋体" w:hAnsi="宋体"/>
                <w:b/>
                <w:sz w:val="30"/>
                <w:szCs w:val="30"/>
              </w:rPr>
            </w:pPr>
            <w:r>
              <w:rPr>
                <w:rFonts w:hint="eastAsia" w:ascii="宋体" w:hAnsi="宋体"/>
                <w:b/>
                <w:sz w:val="30"/>
                <w:szCs w:val="30"/>
              </w:rPr>
              <w:t>得分</w:t>
            </w:r>
          </w:p>
        </w:tc>
      </w:tr>
      <w:tr w14:paraId="4FDF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675" w:type="dxa"/>
            <w:noWrap w:val="0"/>
            <w:vAlign w:val="center"/>
          </w:tcPr>
          <w:p w14:paraId="6AC4AA04">
            <w:pPr>
              <w:tabs>
                <w:tab w:val="left" w:pos="622"/>
              </w:tabs>
              <w:spacing w:line="440" w:lineRule="exact"/>
              <w:jc w:val="center"/>
              <w:rPr>
                <w:rFonts w:hint="eastAsia" w:ascii="宋体" w:hAnsi="宋体"/>
                <w:b/>
                <w:sz w:val="28"/>
                <w:szCs w:val="28"/>
                <w:highlight w:val="none"/>
              </w:rPr>
            </w:pPr>
            <w:r>
              <w:rPr>
                <w:rFonts w:hint="eastAsia" w:ascii="宋体" w:hAnsi="宋体"/>
                <w:b/>
                <w:sz w:val="28"/>
                <w:szCs w:val="28"/>
                <w:highlight w:val="none"/>
                <w:lang w:eastAsia="zh-CN"/>
              </w:rPr>
              <w:t>比选</w:t>
            </w:r>
            <w:r>
              <w:rPr>
                <w:rFonts w:hint="eastAsia" w:ascii="宋体" w:hAnsi="宋体"/>
                <w:b/>
                <w:sz w:val="28"/>
                <w:szCs w:val="28"/>
                <w:highlight w:val="none"/>
              </w:rPr>
              <w:t>报价</w:t>
            </w:r>
          </w:p>
        </w:tc>
        <w:tc>
          <w:tcPr>
            <w:tcW w:w="1268" w:type="dxa"/>
            <w:noWrap w:val="0"/>
            <w:vAlign w:val="center"/>
          </w:tcPr>
          <w:p w14:paraId="5BB799B4">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3</w:t>
            </w:r>
            <w:r>
              <w:rPr>
                <w:rFonts w:hint="eastAsia" w:ascii="宋体" w:hAnsi="宋体"/>
                <w:sz w:val="28"/>
                <w:szCs w:val="28"/>
                <w:highlight w:val="none"/>
              </w:rPr>
              <w:t>0分</w:t>
            </w:r>
          </w:p>
        </w:tc>
        <w:tc>
          <w:tcPr>
            <w:tcW w:w="4117" w:type="dxa"/>
            <w:noWrap w:val="0"/>
            <w:vAlign w:val="center"/>
          </w:tcPr>
          <w:p w14:paraId="4DB05396">
            <w:pPr>
              <w:widowControl/>
              <w:spacing w:line="440" w:lineRule="exact"/>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1.收费超过</w:t>
            </w:r>
            <w:r>
              <w:rPr>
                <w:rFonts w:hint="eastAsia" w:ascii="宋体" w:hAnsi="宋体" w:cs="宋体"/>
                <w:color w:val="000000"/>
                <w:kern w:val="0"/>
                <w:sz w:val="28"/>
                <w:szCs w:val="28"/>
                <w:highlight w:val="none"/>
                <w:lang w:val="en-US" w:eastAsia="zh-CN" w:bidi="ar"/>
              </w:rPr>
              <w:t>28</w:t>
            </w:r>
            <w:r>
              <w:rPr>
                <w:rFonts w:hint="eastAsia" w:ascii="宋体" w:hAnsi="宋体" w:cs="宋体"/>
                <w:color w:val="000000"/>
                <w:kern w:val="0"/>
                <w:sz w:val="28"/>
                <w:szCs w:val="28"/>
                <w:highlight w:val="none"/>
                <w:lang w:bidi="ar"/>
              </w:rPr>
              <w:t>万元为无效报价；</w:t>
            </w:r>
          </w:p>
          <w:p w14:paraId="0F523FA4">
            <w:pPr>
              <w:widowControl/>
              <w:spacing w:line="440" w:lineRule="exact"/>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2.所有参与的</w:t>
            </w:r>
            <w:r>
              <w:rPr>
                <w:rFonts w:hint="eastAsia" w:ascii="宋体" w:hAnsi="宋体" w:cs="宋体"/>
                <w:color w:val="000000"/>
                <w:kern w:val="0"/>
                <w:sz w:val="28"/>
                <w:szCs w:val="28"/>
                <w:highlight w:val="none"/>
                <w:lang w:eastAsia="zh-CN" w:bidi="ar"/>
              </w:rPr>
              <w:t>比选</w:t>
            </w:r>
            <w:r>
              <w:rPr>
                <w:rFonts w:hint="eastAsia" w:ascii="宋体" w:hAnsi="宋体" w:cs="宋体"/>
                <w:color w:val="000000"/>
                <w:kern w:val="0"/>
                <w:sz w:val="28"/>
                <w:szCs w:val="28"/>
                <w:highlight w:val="none"/>
                <w:lang w:bidi="ar"/>
              </w:rPr>
              <w:t>申请人最低的有效报价为基准报价；</w:t>
            </w:r>
          </w:p>
          <w:p w14:paraId="61B248DC">
            <w:pPr>
              <w:widowControl/>
              <w:spacing w:line="440" w:lineRule="exact"/>
              <w:jc w:val="left"/>
              <w:textAlignment w:val="center"/>
              <w:rPr>
                <w:rFonts w:ascii="宋体" w:hAnsi="宋体" w:cs="宋体"/>
                <w:color w:val="000000"/>
                <w:sz w:val="28"/>
                <w:szCs w:val="28"/>
                <w:highlight w:val="none"/>
              </w:rPr>
            </w:pPr>
            <w:r>
              <w:rPr>
                <w:rFonts w:hint="eastAsia" w:ascii="宋体" w:hAnsi="宋体" w:cs="宋体"/>
                <w:color w:val="000000"/>
                <w:kern w:val="0"/>
                <w:sz w:val="28"/>
                <w:szCs w:val="28"/>
                <w:highlight w:val="none"/>
                <w:lang w:bidi="ar"/>
              </w:rPr>
              <w:t>3.报价得分=（基准报价/报价）×</w:t>
            </w:r>
            <w:r>
              <w:rPr>
                <w:rFonts w:hint="eastAsia" w:ascii="宋体" w:hAnsi="宋体" w:cs="宋体"/>
                <w:color w:val="000000"/>
                <w:kern w:val="0"/>
                <w:sz w:val="28"/>
                <w:szCs w:val="28"/>
                <w:highlight w:val="none"/>
                <w:lang w:val="en-US" w:eastAsia="zh-CN" w:bidi="ar"/>
              </w:rPr>
              <w:t>3</w:t>
            </w:r>
            <w:r>
              <w:rPr>
                <w:rFonts w:hint="eastAsia" w:ascii="宋体" w:hAnsi="宋体" w:cs="宋体"/>
                <w:color w:val="000000"/>
                <w:kern w:val="0"/>
                <w:sz w:val="28"/>
                <w:szCs w:val="28"/>
                <w:highlight w:val="none"/>
                <w:lang w:bidi="ar"/>
              </w:rPr>
              <w:t>0分。</w:t>
            </w:r>
          </w:p>
        </w:tc>
        <w:tc>
          <w:tcPr>
            <w:tcW w:w="1462" w:type="dxa"/>
            <w:noWrap w:val="0"/>
            <w:vAlign w:val="center"/>
          </w:tcPr>
          <w:p w14:paraId="647392A5">
            <w:pPr>
              <w:tabs>
                <w:tab w:val="left" w:pos="622"/>
              </w:tabs>
              <w:jc w:val="center"/>
              <w:rPr>
                <w:rFonts w:hint="eastAsia" w:ascii="宋体" w:hAnsi="宋体"/>
                <w:sz w:val="24"/>
                <w:highlight w:val="yellow"/>
              </w:rPr>
            </w:pPr>
          </w:p>
        </w:tc>
      </w:tr>
      <w:tr w14:paraId="008A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675" w:type="dxa"/>
            <w:noWrap w:val="0"/>
            <w:vAlign w:val="center"/>
          </w:tcPr>
          <w:p w14:paraId="3DFD92F3">
            <w:pPr>
              <w:tabs>
                <w:tab w:val="left" w:pos="622"/>
              </w:tabs>
              <w:spacing w:line="440" w:lineRule="exact"/>
              <w:jc w:val="both"/>
              <w:rPr>
                <w:rFonts w:hint="eastAsia" w:ascii="宋体" w:hAnsi="宋体" w:cs="宋体"/>
                <w:b/>
                <w:color w:val="000000"/>
                <w:kern w:val="0"/>
                <w:sz w:val="28"/>
                <w:szCs w:val="28"/>
                <w:highlight w:val="none"/>
                <w:lang w:bidi="ar"/>
              </w:rPr>
            </w:pPr>
            <w:r>
              <w:rPr>
                <w:rFonts w:hint="eastAsia" w:ascii="宋体" w:hAnsi="宋体"/>
                <w:b/>
                <w:sz w:val="28"/>
                <w:szCs w:val="28"/>
                <w:highlight w:val="none"/>
                <w:lang w:eastAsia="zh-CN"/>
              </w:rPr>
              <w:t>债券业务审计服务业绩</w:t>
            </w:r>
          </w:p>
        </w:tc>
        <w:tc>
          <w:tcPr>
            <w:tcW w:w="1268" w:type="dxa"/>
            <w:noWrap w:val="0"/>
            <w:vAlign w:val="center"/>
          </w:tcPr>
          <w:p w14:paraId="7D1FC4FE">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20分</w:t>
            </w:r>
          </w:p>
        </w:tc>
        <w:tc>
          <w:tcPr>
            <w:tcW w:w="4117" w:type="dxa"/>
            <w:noWrap w:val="0"/>
            <w:vAlign w:val="center"/>
          </w:tcPr>
          <w:p w14:paraId="5AAF40A4">
            <w:pPr>
              <w:tabs>
                <w:tab w:val="left" w:pos="622"/>
              </w:tabs>
              <w:spacing w:line="440" w:lineRule="exact"/>
              <w:jc w:val="left"/>
              <w:rPr>
                <w:rFonts w:hint="default" w:ascii="宋体" w:hAnsi="宋体" w:eastAsia="仿宋_GB2312" w:cs="宋体"/>
                <w:color w:val="000000"/>
                <w:kern w:val="0"/>
                <w:sz w:val="28"/>
                <w:szCs w:val="28"/>
                <w:highlight w:val="none"/>
                <w:lang w:val="en-US" w:eastAsia="zh-CN" w:bidi="ar"/>
              </w:rPr>
            </w:pPr>
            <w:r>
              <w:rPr>
                <w:rFonts w:hint="eastAsia" w:ascii="宋体" w:hAnsi="宋体"/>
                <w:sz w:val="28"/>
                <w:szCs w:val="28"/>
                <w:highlight w:val="none"/>
                <w:lang w:eastAsia="zh-CN"/>
              </w:rPr>
              <w:t>每提供</w:t>
            </w:r>
            <w:r>
              <w:rPr>
                <w:rFonts w:hint="eastAsia" w:ascii="宋体" w:hAnsi="宋体"/>
                <w:sz w:val="28"/>
                <w:szCs w:val="28"/>
                <w:highlight w:val="none"/>
                <w:lang w:val="en-US" w:eastAsia="zh-CN"/>
              </w:rPr>
              <w:t>近三年审计或债券业务审计服务合同</w:t>
            </w:r>
            <w:r>
              <w:rPr>
                <w:rFonts w:hint="eastAsia" w:ascii="宋体" w:hAnsi="宋体"/>
                <w:sz w:val="28"/>
                <w:szCs w:val="28"/>
                <w:highlight w:val="none"/>
                <w:lang w:eastAsia="zh-CN"/>
              </w:rPr>
              <w:t>得</w:t>
            </w:r>
            <w:r>
              <w:rPr>
                <w:rFonts w:hint="eastAsia" w:ascii="宋体" w:hAnsi="宋体"/>
                <w:sz w:val="28"/>
                <w:szCs w:val="28"/>
                <w:highlight w:val="none"/>
                <w:lang w:val="en-US" w:eastAsia="zh-CN"/>
              </w:rPr>
              <w:t>5分，最高20分。</w:t>
            </w:r>
          </w:p>
        </w:tc>
        <w:tc>
          <w:tcPr>
            <w:tcW w:w="1462" w:type="dxa"/>
            <w:noWrap w:val="0"/>
            <w:vAlign w:val="center"/>
          </w:tcPr>
          <w:p w14:paraId="6F514673">
            <w:pPr>
              <w:tabs>
                <w:tab w:val="left" w:pos="622"/>
              </w:tabs>
              <w:jc w:val="center"/>
              <w:rPr>
                <w:rFonts w:hint="eastAsia" w:ascii="宋体" w:hAnsi="宋体"/>
                <w:sz w:val="24"/>
                <w:highlight w:val="yellow"/>
              </w:rPr>
            </w:pPr>
          </w:p>
        </w:tc>
      </w:tr>
      <w:tr w14:paraId="0302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675" w:type="dxa"/>
            <w:noWrap w:val="0"/>
            <w:vAlign w:val="center"/>
          </w:tcPr>
          <w:p w14:paraId="40657D60">
            <w:pPr>
              <w:tabs>
                <w:tab w:val="left" w:pos="622"/>
              </w:tabs>
              <w:spacing w:line="440" w:lineRule="exact"/>
              <w:jc w:val="center"/>
              <w:rPr>
                <w:rFonts w:hint="eastAsia" w:ascii="宋体" w:hAnsi="宋体" w:cs="宋体"/>
                <w:b/>
                <w:color w:val="000000"/>
                <w:kern w:val="0"/>
                <w:sz w:val="28"/>
                <w:szCs w:val="28"/>
                <w:highlight w:val="none"/>
                <w:lang w:val="en-US" w:eastAsia="zh-CN" w:bidi="ar"/>
              </w:rPr>
            </w:pPr>
          </w:p>
          <w:p w14:paraId="15C1173E">
            <w:pPr>
              <w:tabs>
                <w:tab w:val="left" w:pos="622"/>
              </w:tabs>
              <w:spacing w:line="440" w:lineRule="exact"/>
              <w:jc w:val="center"/>
              <w:rPr>
                <w:rFonts w:hint="eastAsia" w:ascii="宋体" w:hAnsi="宋体" w:cs="宋体"/>
                <w:b/>
                <w:color w:val="000000"/>
                <w:kern w:val="0"/>
                <w:sz w:val="28"/>
                <w:szCs w:val="28"/>
                <w:highlight w:val="none"/>
                <w:lang w:val="en-US" w:eastAsia="zh-CN" w:bidi="ar"/>
              </w:rPr>
            </w:pPr>
            <w:r>
              <w:rPr>
                <w:rFonts w:hint="eastAsia" w:ascii="宋体" w:hAnsi="宋体" w:cs="宋体"/>
                <w:b/>
                <w:color w:val="000000"/>
                <w:kern w:val="0"/>
                <w:sz w:val="28"/>
                <w:szCs w:val="28"/>
                <w:highlight w:val="none"/>
                <w:lang w:val="en-US" w:eastAsia="zh-CN" w:bidi="ar"/>
              </w:rPr>
              <w:t>会计师服务团队人员</w:t>
            </w:r>
          </w:p>
          <w:p w14:paraId="79F690A1">
            <w:pPr>
              <w:tabs>
                <w:tab w:val="left" w:pos="622"/>
              </w:tabs>
              <w:spacing w:line="440" w:lineRule="exact"/>
              <w:jc w:val="center"/>
              <w:rPr>
                <w:rFonts w:hint="eastAsia" w:ascii="宋体" w:hAnsi="宋体" w:cs="宋体"/>
                <w:b/>
                <w:color w:val="000000"/>
                <w:kern w:val="0"/>
                <w:sz w:val="28"/>
                <w:szCs w:val="28"/>
                <w:highlight w:val="none"/>
                <w:lang w:eastAsia="zh-CN" w:bidi="ar"/>
              </w:rPr>
            </w:pPr>
          </w:p>
        </w:tc>
        <w:tc>
          <w:tcPr>
            <w:tcW w:w="1268" w:type="dxa"/>
            <w:noWrap w:val="0"/>
            <w:vAlign w:val="center"/>
          </w:tcPr>
          <w:p w14:paraId="2526A889">
            <w:pPr>
              <w:tabs>
                <w:tab w:val="left" w:pos="622"/>
              </w:tabs>
              <w:spacing w:line="440" w:lineRule="exact"/>
              <w:jc w:val="center"/>
              <w:rPr>
                <w:rFonts w:hint="eastAsia" w:ascii="宋体" w:hAnsi="宋体"/>
                <w:sz w:val="28"/>
                <w:szCs w:val="28"/>
                <w:highlight w:val="none"/>
                <w:lang w:val="en-US" w:eastAsia="zh-CN"/>
              </w:rPr>
            </w:pPr>
          </w:p>
          <w:p w14:paraId="13737351">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20</w:t>
            </w:r>
            <w:r>
              <w:rPr>
                <w:rFonts w:hint="eastAsia" w:ascii="宋体" w:hAnsi="宋体"/>
                <w:sz w:val="28"/>
                <w:szCs w:val="28"/>
                <w:highlight w:val="none"/>
              </w:rPr>
              <w:t>分</w:t>
            </w:r>
          </w:p>
          <w:p w14:paraId="754BF3C0">
            <w:pPr>
              <w:tabs>
                <w:tab w:val="left" w:pos="622"/>
              </w:tabs>
              <w:spacing w:line="440" w:lineRule="exact"/>
              <w:jc w:val="center"/>
              <w:rPr>
                <w:rFonts w:hint="eastAsia" w:ascii="宋体" w:hAnsi="宋体"/>
                <w:sz w:val="28"/>
                <w:szCs w:val="28"/>
                <w:highlight w:val="none"/>
                <w:lang w:val="en-US" w:eastAsia="zh-CN"/>
              </w:rPr>
            </w:pPr>
          </w:p>
        </w:tc>
        <w:tc>
          <w:tcPr>
            <w:tcW w:w="4117" w:type="dxa"/>
            <w:noWrap w:val="0"/>
            <w:vAlign w:val="center"/>
          </w:tcPr>
          <w:p w14:paraId="7EF93584">
            <w:pPr>
              <w:tabs>
                <w:tab w:val="left" w:pos="622"/>
              </w:tabs>
              <w:spacing w:line="440" w:lineRule="exact"/>
              <w:jc w:val="left"/>
              <w:rPr>
                <w:rFonts w:hint="eastAsia" w:ascii="宋体" w:hAnsi="宋体"/>
                <w:sz w:val="28"/>
                <w:szCs w:val="28"/>
                <w:highlight w:val="none"/>
                <w:lang w:val="en-US" w:eastAsia="zh-CN"/>
              </w:rPr>
            </w:pPr>
          </w:p>
          <w:p w14:paraId="4CD1DF32">
            <w:pPr>
              <w:tabs>
                <w:tab w:val="left" w:pos="622"/>
              </w:tabs>
              <w:spacing w:line="440" w:lineRule="exact"/>
              <w:jc w:val="left"/>
              <w:rPr>
                <w:rFonts w:hint="eastAsia" w:ascii="宋体" w:hAnsi="宋体"/>
                <w:sz w:val="28"/>
                <w:szCs w:val="28"/>
                <w:highlight w:val="none"/>
                <w:lang w:val="en-US" w:eastAsia="zh-CN"/>
              </w:rPr>
            </w:pPr>
            <w:r>
              <w:rPr>
                <w:rFonts w:hint="eastAsia" w:ascii="宋体" w:hAnsi="宋体"/>
                <w:sz w:val="28"/>
                <w:szCs w:val="28"/>
                <w:highlight w:val="none"/>
                <w:lang w:val="en-US" w:eastAsia="zh-CN"/>
              </w:rPr>
              <w:t>会计师服务团队成员每有1名注册会计师得10分，最高20分。</w:t>
            </w:r>
          </w:p>
          <w:p w14:paraId="44F54E2D">
            <w:pPr>
              <w:tabs>
                <w:tab w:val="left" w:pos="622"/>
              </w:tabs>
              <w:spacing w:line="440" w:lineRule="exact"/>
              <w:jc w:val="left"/>
              <w:rPr>
                <w:rFonts w:hint="eastAsia" w:ascii="宋体" w:hAnsi="宋体"/>
                <w:sz w:val="28"/>
                <w:szCs w:val="28"/>
                <w:highlight w:val="none"/>
                <w:lang w:eastAsia="zh-CN"/>
              </w:rPr>
            </w:pPr>
          </w:p>
        </w:tc>
        <w:tc>
          <w:tcPr>
            <w:tcW w:w="1462" w:type="dxa"/>
            <w:noWrap w:val="0"/>
            <w:vAlign w:val="center"/>
          </w:tcPr>
          <w:p w14:paraId="56E88F5B">
            <w:pPr>
              <w:tabs>
                <w:tab w:val="left" w:pos="622"/>
              </w:tabs>
              <w:jc w:val="center"/>
              <w:rPr>
                <w:rFonts w:hint="eastAsia" w:ascii="宋体" w:hAnsi="宋体"/>
                <w:sz w:val="24"/>
                <w:highlight w:val="yellow"/>
              </w:rPr>
            </w:pPr>
          </w:p>
        </w:tc>
      </w:tr>
      <w:tr w14:paraId="2208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75" w:type="dxa"/>
            <w:noWrap w:val="0"/>
            <w:vAlign w:val="center"/>
          </w:tcPr>
          <w:p w14:paraId="41714269">
            <w:pPr>
              <w:tabs>
                <w:tab w:val="left" w:pos="622"/>
              </w:tabs>
              <w:spacing w:line="440" w:lineRule="exact"/>
              <w:jc w:val="center"/>
              <w:rPr>
                <w:rFonts w:hint="eastAsia" w:ascii="宋体" w:hAnsi="宋体" w:cs="Times New Roman"/>
                <w:b/>
                <w:sz w:val="28"/>
                <w:szCs w:val="28"/>
                <w:highlight w:val="none"/>
                <w:lang w:val="en-US" w:eastAsia="zh-CN"/>
              </w:rPr>
            </w:pPr>
            <w:r>
              <w:rPr>
                <w:rFonts w:hint="eastAsia" w:ascii="宋体" w:hAnsi="宋体" w:cs="宋体"/>
                <w:b/>
                <w:color w:val="000000"/>
                <w:kern w:val="0"/>
                <w:sz w:val="28"/>
                <w:szCs w:val="28"/>
                <w:highlight w:val="none"/>
                <w:lang w:bidi="ar"/>
              </w:rPr>
              <w:t>服务方案</w:t>
            </w:r>
          </w:p>
        </w:tc>
        <w:tc>
          <w:tcPr>
            <w:tcW w:w="1268" w:type="dxa"/>
            <w:noWrap w:val="0"/>
            <w:vAlign w:val="center"/>
          </w:tcPr>
          <w:p w14:paraId="7C64F8A0">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30</w:t>
            </w:r>
            <w:r>
              <w:rPr>
                <w:rFonts w:hint="eastAsia" w:ascii="宋体" w:hAnsi="宋体"/>
                <w:sz w:val="28"/>
                <w:szCs w:val="28"/>
                <w:highlight w:val="none"/>
              </w:rPr>
              <w:t>分</w:t>
            </w:r>
          </w:p>
        </w:tc>
        <w:tc>
          <w:tcPr>
            <w:tcW w:w="4117" w:type="dxa"/>
            <w:noWrap w:val="0"/>
            <w:vAlign w:val="center"/>
          </w:tcPr>
          <w:p w14:paraId="459F96D1">
            <w:pPr>
              <w:numPr>
                <w:ilvl w:val="0"/>
                <w:numId w:val="6"/>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审计服务时间安排优秀的得6—15分，良好的得1—5分，没有不得分。</w:t>
            </w:r>
          </w:p>
          <w:p w14:paraId="3D0EAEF4">
            <w:pPr>
              <w:numPr>
                <w:ilvl w:val="0"/>
                <w:numId w:val="0"/>
              </w:numPr>
              <w:tabs>
                <w:tab w:val="left" w:pos="622"/>
              </w:tabs>
              <w:spacing w:line="440" w:lineRule="exact"/>
              <w:jc w:val="left"/>
              <w:rPr>
                <w:rFonts w:hint="default"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2、服务方案详细、完好、全面，审计中涉及与金融机构协调和存在沟通困难，相关方案和举措优秀的得6—15分，良好的得1—5分，没有不得分。</w:t>
            </w:r>
          </w:p>
        </w:tc>
        <w:tc>
          <w:tcPr>
            <w:tcW w:w="1462" w:type="dxa"/>
            <w:noWrap w:val="0"/>
            <w:vAlign w:val="center"/>
          </w:tcPr>
          <w:p w14:paraId="0C0DE41B">
            <w:pPr>
              <w:tabs>
                <w:tab w:val="left" w:pos="622"/>
              </w:tabs>
              <w:jc w:val="center"/>
              <w:rPr>
                <w:rFonts w:hint="eastAsia" w:ascii="宋体" w:hAnsi="宋体"/>
                <w:sz w:val="24"/>
                <w:highlight w:val="yellow"/>
              </w:rPr>
            </w:pPr>
          </w:p>
        </w:tc>
      </w:tr>
      <w:tr w14:paraId="4FF4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75" w:type="dxa"/>
            <w:noWrap w:val="0"/>
            <w:vAlign w:val="center"/>
          </w:tcPr>
          <w:p w14:paraId="0C730C67">
            <w:pPr>
              <w:tabs>
                <w:tab w:val="left" w:pos="622"/>
              </w:tabs>
              <w:jc w:val="center"/>
              <w:rPr>
                <w:rFonts w:hint="eastAsia" w:ascii="宋体" w:hAnsi="宋体"/>
                <w:b/>
                <w:sz w:val="30"/>
                <w:szCs w:val="30"/>
              </w:rPr>
            </w:pPr>
            <w:r>
              <w:rPr>
                <w:rFonts w:hint="eastAsia" w:ascii="宋体" w:hAnsi="宋体"/>
                <w:b/>
                <w:sz w:val="30"/>
                <w:szCs w:val="30"/>
              </w:rPr>
              <w:t>合计</w:t>
            </w:r>
          </w:p>
        </w:tc>
        <w:tc>
          <w:tcPr>
            <w:tcW w:w="1268" w:type="dxa"/>
            <w:noWrap w:val="0"/>
            <w:vAlign w:val="center"/>
          </w:tcPr>
          <w:p w14:paraId="4AF90355">
            <w:pPr>
              <w:tabs>
                <w:tab w:val="left" w:pos="622"/>
              </w:tabs>
              <w:jc w:val="center"/>
              <w:rPr>
                <w:rFonts w:hint="eastAsia" w:ascii="宋体" w:hAnsi="宋体"/>
                <w:b/>
                <w:sz w:val="30"/>
                <w:szCs w:val="30"/>
              </w:rPr>
            </w:pPr>
            <w:r>
              <w:rPr>
                <w:rFonts w:hint="eastAsia" w:ascii="宋体" w:hAnsi="宋体"/>
                <w:b/>
                <w:sz w:val="30"/>
                <w:szCs w:val="30"/>
              </w:rPr>
              <w:t>100分</w:t>
            </w:r>
          </w:p>
        </w:tc>
        <w:tc>
          <w:tcPr>
            <w:tcW w:w="4117" w:type="dxa"/>
            <w:noWrap w:val="0"/>
            <w:vAlign w:val="center"/>
          </w:tcPr>
          <w:p w14:paraId="0B8E62C9">
            <w:pPr>
              <w:tabs>
                <w:tab w:val="left" w:pos="622"/>
              </w:tabs>
              <w:jc w:val="center"/>
              <w:rPr>
                <w:rFonts w:hint="eastAsia" w:ascii="宋体" w:hAnsi="宋体"/>
                <w:sz w:val="24"/>
              </w:rPr>
            </w:pPr>
          </w:p>
        </w:tc>
        <w:tc>
          <w:tcPr>
            <w:tcW w:w="1462" w:type="dxa"/>
            <w:noWrap w:val="0"/>
            <w:vAlign w:val="center"/>
          </w:tcPr>
          <w:p w14:paraId="57359015">
            <w:pPr>
              <w:tabs>
                <w:tab w:val="left" w:pos="622"/>
              </w:tabs>
              <w:jc w:val="center"/>
              <w:rPr>
                <w:rFonts w:hint="eastAsia" w:ascii="宋体" w:hAnsi="宋体"/>
                <w:sz w:val="24"/>
              </w:rPr>
            </w:pPr>
          </w:p>
        </w:tc>
      </w:tr>
    </w:tbl>
    <w:p w14:paraId="2048E16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14:paraId="487064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14:paraId="0B919E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14:paraId="4CA9AE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DFE65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名中标候选人，并编写比选报告。评审得分相同的，由评审小组磋商确定中标候选人。</w:t>
      </w:r>
    </w:p>
    <w:p w14:paraId="0A7A477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14:paraId="73868D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程序继续进行。对比选报告有异议的评审小组成员，应当在报告上签署不同意见并说明理由。</w:t>
      </w:r>
    </w:p>
    <w:p w14:paraId="0CACB4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报告。</w:t>
      </w:r>
    </w:p>
    <w:p w14:paraId="34C8D89A">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57333596">
      <w:pPr>
        <w:pStyle w:val="19"/>
        <w:rPr>
          <w:rFonts w:hint="eastAsia" w:ascii="仿宋" w:hAnsi="仿宋" w:eastAsia="仿宋" w:cs="仿宋"/>
          <w:b/>
          <w:bCs/>
          <w:color w:val="auto"/>
          <w:sz w:val="40"/>
          <w:szCs w:val="40"/>
          <w:shd w:val="clear" w:color="050000" w:fill="auto"/>
        </w:rPr>
      </w:pPr>
    </w:p>
    <w:p w14:paraId="4EDBAD80">
      <w:pPr>
        <w:spacing w:line="360" w:lineRule="auto"/>
        <w:jc w:val="center"/>
        <w:rPr>
          <w:rFonts w:hint="eastAsia" w:ascii="仿宋" w:hAnsi="仿宋" w:eastAsia="仿宋" w:cs="仿宋"/>
          <w:b/>
          <w:color w:val="auto"/>
          <w:sz w:val="40"/>
          <w:szCs w:val="40"/>
          <w:shd w:val="clear" w:color="060000" w:fill="auto"/>
        </w:rPr>
      </w:pPr>
    </w:p>
    <w:p w14:paraId="12DE273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4A1687BE">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AF92F72">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14:paraId="5F418D1F">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4E66FD1D">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52"/>
          <w:szCs w:val="52"/>
          <w:lang w:val="en-US" w:eastAsia="zh-CN"/>
        </w:rPr>
        <w:t>许昌市城投发展集团有限公司专项审计服务</w:t>
      </w:r>
    </w:p>
    <w:p w14:paraId="1AC7403F">
      <w:pPr>
        <w:jc w:val="center"/>
        <w:rPr>
          <w:rFonts w:hint="eastAsia" w:ascii="仿宋" w:hAnsi="仿宋" w:eastAsia="仿宋" w:cs="仿宋"/>
          <w:color w:val="auto"/>
          <w:sz w:val="28"/>
          <w:szCs w:val="28"/>
          <w:shd w:val="clear" w:color="050000" w:fill="auto"/>
        </w:rPr>
      </w:pPr>
    </w:p>
    <w:p w14:paraId="1F3AA696">
      <w:pPr>
        <w:jc w:val="center"/>
        <w:rPr>
          <w:rFonts w:hint="eastAsia" w:ascii="仿宋" w:hAnsi="仿宋" w:eastAsia="仿宋" w:cs="仿宋"/>
          <w:color w:val="auto"/>
          <w:sz w:val="28"/>
          <w:szCs w:val="28"/>
          <w:shd w:val="clear" w:color="050000" w:fill="auto"/>
        </w:rPr>
      </w:pPr>
    </w:p>
    <w:p w14:paraId="437CDFBD">
      <w:pPr>
        <w:pStyle w:val="3"/>
        <w:numPr>
          <w:ilvl w:val="1"/>
          <w:numId w:val="0"/>
        </w:numPr>
        <w:rPr>
          <w:rFonts w:hint="eastAsia"/>
        </w:rPr>
      </w:pPr>
    </w:p>
    <w:p w14:paraId="053DCED5">
      <w:pPr>
        <w:rPr>
          <w:rFonts w:hint="eastAsia" w:ascii="仿宋" w:hAnsi="仿宋" w:eastAsia="仿宋" w:cs="仿宋"/>
          <w:color w:val="auto"/>
          <w:sz w:val="28"/>
          <w:szCs w:val="28"/>
          <w:shd w:val="clear" w:color="050000" w:fill="auto"/>
        </w:rPr>
      </w:pPr>
    </w:p>
    <w:p w14:paraId="0E2BA1F5">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3EE0AE2E">
      <w:pPr>
        <w:pStyle w:val="3"/>
        <w:numPr>
          <w:ilvl w:val="1"/>
          <w:numId w:val="0"/>
        </w:numPr>
        <w:rPr>
          <w:rFonts w:hint="eastAsia" w:ascii="仿宋" w:hAnsi="仿宋" w:eastAsia="仿宋" w:cs="仿宋"/>
          <w:sz w:val="32"/>
          <w:szCs w:val="32"/>
        </w:rPr>
      </w:pPr>
    </w:p>
    <w:p w14:paraId="635A6F69">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2FE7699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398566DE">
      <w:pPr>
        <w:pStyle w:val="14"/>
        <w:spacing w:line="360" w:lineRule="auto"/>
        <w:jc w:val="center"/>
        <w:rPr>
          <w:rFonts w:hint="eastAsia" w:ascii="仿宋" w:hAnsi="仿宋" w:eastAsia="仿宋" w:cs="仿宋"/>
          <w:b/>
          <w:snapToGrid w:val="0"/>
          <w:color w:val="auto"/>
          <w:kern w:val="0"/>
          <w:sz w:val="36"/>
          <w:szCs w:val="36"/>
          <w:lang w:val="zh-CN" w:eastAsia="zh-CN"/>
        </w:rPr>
      </w:pPr>
    </w:p>
    <w:p w14:paraId="627E1216">
      <w:pPr>
        <w:pStyle w:val="14"/>
        <w:spacing w:line="360" w:lineRule="auto"/>
        <w:jc w:val="center"/>
        <w:rPr>
          <w:rFonts w:hint="eastAsia" w:ascii="仿宋" w:hAnsi="仿宋" w:eastAsia="仿宋" w:cs="仿宋"/>
          <w:b/>
          <w:snapToGrid w:val="0"/>
          <w:color w:val="auto"/>
          <w:kern w:val="0"/>
          <w:sz w:val="36"/>
          <w:szCs w:val="36"/>
          <w:lang w:val="zh-CN" w:eastAsia="zh-CN"/>
        </w:rPr>
      </w:pPr>
    </w:p>
    <w:p w14:paraId="7A7294B4">
      <w:pPr>
        <w:pStyle w:val="14"/>
        <w:spacing w:line="360" w:lineRule="auto"/>
        <w:jc w:val="center"/>
        <w:rPr>
          <w:rFonts w:hint="eastAsia" w:ascii="仿宋" w:hAnsi="仿宋" w:eastAsia="仿宋" w:cs="仿宋"/>
          <w:b/>
          <w:snapToGrid w:val="0"/>
          <w:color w:val="auto"/>
          <w:kern w:val="0"/>
          <w:sz w:val="36"/>
          <w:szCs w:val="36"/>
          <w:lang w:val="zh-CN" w:eastAsia="zh-CN"/>
        </w:rPr>
      </w:pPr>
    </w:p>
    <w:p w14:paraId="3053B523">
      <w:pPr>
        <w:pStyle w:val="14"/>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4423"/>
        <w:gridCol w:w="1591"/>
        <w:gridCol w:w="1561"/>
        <w:gridCol w:w="1023"/>
      </w:tblGrid>
      <w:tr w14:paraId="0ED3A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6C992EF7">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423" w:type="dxa"/>
            <w:vAlign w:val="center"/>
          </w:tcPr>
          <w:p w14:paraId="007B5B4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91" w:type="dxa"/>
            <w:vAlign w:val="center"/>
          </w:tcPr>
          <w:p w14:paraId="08E8128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1" w:type="dxa"/>
            <w:vAlign w:val="center"/>
          </w:tcPr>
          <w:p w14:paraId="46ECCC95">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023" w:type="dxa"/>
            <w:vAlign w:val="center"/>
          </w:tcPr>
          <w:p w14:paraId="1653F004">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1D20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E434BA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423" w:type="dxa"/>
            <w:vAlign w:val="center"/>
          </w:tcPr>
          <w:p w14:paraId="6BE78FCA">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91" w:type="dxa"/>
            <w:vAlign w:val="center"/>
          </w:tcPr>
          <w:p w14:paraId="5E388A15">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3FF9141D">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6FD550AA">
            <w:pPr>
              <w:snapToGrid w:val="0"/>
              <w:spacing w:line="540" w:lineRule="exact"/>
              <w:rPr>
                <w:rFonts w:hint="eastAsia" w:ascii="仿宋" w:hAnsi="仿宋" w:eastAsia="仿宋" w:cs="仿宋"/>
                <w:color w:val="auto"/>
                <w:sz w:val="22"/>
                <w:szCs w:val="22"/>
                <w:highlight w:val="none"/>
              </w:rPr>
            </w:pPr>
          </w:p>
        </w:tc>
      </w:tr>
      <w:tr w14:paraId="5B94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54A77796">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423" w:type="dxa"/>
            <w:vAlign w:val="center"/>
          </w:tcPr>
          <w:p w14:paraId="16C3A7F5">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91" w:type="dxa"/>
            <w:vAlign w:val="center"/>
          </w:tcPr>
          <w:p w14:paraId="49722F4D">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3758269F">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3D7BA64E">
            <w:pPr>
              <w:snapToGrid w:val="0"/>
              <w:spacing w:line="540" w:lineRule="exact"/>
              <w:rPr>
                <w:rFonts w:hint="eastAsia" w:ascii="仿宋" w:hAnsi="仿宋" w:eastAsia="仿宋" w:cs="仿宋"/>
                <w:color w:val="auto"/>
                <w:sz w:val="22"/>
                <w:szCs w:val="22"/>
                <w:highlight w:val="none"/>
              </w:rPr>
            </w:pPr>
          </w:p>
        </w:tc>
      </w:tr>
      <w:tr w14:paraId="70D77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9022D27">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423" w:type="dxa"/>
            <w:vAlign w:val="center"/>
          </w:tcPr>
          <w:p w14:paraId="1C7132DD">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91" w:type="dxa"/>
            <w:vAlign w:val="center"/>
          </w:tcPr>
          <w:p w14:paraId="7E29E1D2">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735F90DB">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0C33F605">
            <w:pPr>
              <w:snapToGrid w:val="0"/>
              <w:spacing w:line="540" w:lineRule="exact"/>
              <w:rPr>
                <w:rFonts w:hint="eastAsia" w:ascii="仿宋" w:hAnsi="仿宋" w:eastAsia="仿宋" w:cs="仿宋"/>
                <w:color w:val="auto"/>
                <w:sz w:val="22"/>
                <w:szCs w:val="22"/>
                <w:highlight w:val="none"/>
              </w:rPr>
            </w:pPr>
          </w:p>
        </w:tc>
      </w:tr>
      <w:tr w14:paraId="2B5BC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13D583C">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423" w:type="dxa"/>
            <w:vAlign w:val="center"/>
          </w:tcPr>
          <w:p w14:paraId="1A12DBAB">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营业执照、执业证书等有效证件</w:t>
            </w:r>
          </w:p>
        </w:tc>
        <w:tc>
          <w:tcPr>
            <w:tcW w:w="1591" w:type="dxa"/>
            <w:vAlign w:val="center"/>
          </w:tcPr>
          <w:p w14:paraId="2C6B9EE5">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77A3EDB9">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0B1B3535">
            <w:pPr>
              <w:snapToGrid w:val="0"/>
              <w:spacing w:line="540" w:lineRule="exact"/>
              <w:rPr>
                <w:rFonts w:hint="eastAsia" w:ascii="仿宋" w:hAnsi="仿宋" w:eastAsia="仿宋" w:cs="仿宋"/>
                <w:color w:val="auto"/>
                <w:sz w:val="22"/>
                <w:szCs w:val="22"/>
                <w:highlight w:val="none"/>
              </w:rPr>
            </w:pPr>
          </w:p>
        </w:tc>
      </w:tr>
      <w:tr w14:paraId="0C3BF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150DBA2">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423" w:type="dxa"/>
            <w:vAlign w:val="center"/>
          </w:tcPr>
          <w:p w14:paraId="58EEC693">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91" w:type="dxa"/>
            <w:vAlign w:val="center"/>
          </w:tcPr>
          <w:p w14:paraId="3391F743">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7DB7E15B">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56F63FE8">
            <w:pPr>
              <w:snapToGrid w:val="0"/>
              <w:spacing w:line="540" w:lineRule="exact"/>
              <w:rPr>
                <w:rFonts w:hint="eastAsia" w:ascii="仿宋" w:hAnsi="仿宋" w:eastAsia="仿宋" w:cs="仿宋"/>
                <w:color w:val="auto"/>
                <w:sz w:val="22"/>
                <w:szCs w:val="22"/>
                <w:highlight w:val="none"/>
              </w:rPr>
            </w:pPr>
          </w:p>
        </w:tc>
      </w:tr>
      <w:tr w14:paraId="1CCF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73F2DCB">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423" w:type="dxa"/>
            <w:vAlign w:val="center"/>
          </w:tcPr>
          <w:p w14:paraId="518B864A">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91" w:type="dxa"/>
            <w:vAlign w:val="center"/>
          </w:tcPr>
          <w:p w14:paraId="744ACCC4">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7EE11995">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2C0AC7D8">
            <w:pPr>
              <w:snapToGrid w:val="0"/>
              <w:spacing w:line="540" w:lineRule="exact"/>
              <w:rPr>
                <w:rFonts w:hint="eastAsia" w:ascii="仿宋" w:hAnsi="仿宋" w:eastAsia="仿宋" w:cs="仿宋"/>
                <w:color w:val="auto"/>
                <w:sz w:val="22"/>
                <w:szCs w:val="22"/>
                <w:highlight w:val="none"/>
              </w:rPr>
            </w:pPr>
          </w:p>
        </w:tc>
      </w:tr>
      <w:tr w14:paraId="2FE9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D85D93E">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423" w:type="dxa"/>
            <w:vAlign w:val="center"/>
          </w:tcPr>
          <w:p w14:paraId="11AC6EEB">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审计服务方案</w:t>
            </w:r>
          </w:p>
        </w:tc>
        <w:tc>
          <w:tcPr>
            <w:tcW w:w="1591" w:type="dxa"/>
            <w:vAlign w:val="center"/>
          </w:tcPr>
          <w:p w14:paraId="0E154D8A">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1E8DB72B">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69AF2958">
            <w:pPr>
              <w:snapToGrid w:val="0"/>
              <w:spacing w:line="540" w:lineRule="exact"/>
              <w:rPr>
                <w:rFonts w:hint="eastAsia" w:ascii="仿宋" w:hAnsi="仿宋" w:eastAsia="仿宋" w:cs="仿宋"/>
                <w:color w:val="auto"/>
                <w:sz w:val="22"/>
                <w:szCs w:val="22"/>
                <w:highlight w:val="none"/>
              </w:rPr>
            </w:pPr>
          </w:p>
        </w:tc>
      </w:tr>
      <w:tr w14:paraId="5781B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E5C111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423" w:type="dxa"/>
            <w:vAlign w:val="center"/>
          </w:tcPr>
          <w:p w14:paraId="5B05DE27">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lang w:eastAsia="zh-CN"/>
              </w:rPr>
              <w:t>债券业务审计服务业绩</w:t>
            </w:r>
          </w:p>
        </w:tc>
        <w:tc>
          <w:tcPr>
            <w:tcW w:w="1591" w:type="dxa"/>
            <w:vAlign w:val="center"/>
          </w:tcPr>
          <w:p w14:paraId="42304FBC">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1A24ADCA">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5DFA5246">
            <w:pPr>
              <w:snapToGrid w:val="0"/>
              <w:spacing w:line="540" w:lineRule="exact"/>
              <w:rPr>
                <w:rFonts w:hint="eastAsia" w:ascii="仿宋" w:hAnsi="仿宋" w:eastAsia="仿宋" w:cs="仿宋"/>
                <w:color w:val="auto"/>
                <w:sz w:val="22"/>
                <w:szCs w:val="22"/>
                <w:highlight w:val="none"/>
              </w:rPr>
            </w:pPr>
          </w:p>
        </w:tc>
      </w:tr>
      <w:tr w14:paraId="01E3E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exact"/>
        </w:trPr>
        <w:tc>
          <w:tcPr>
            <w:tcW w:w="758" w:type="dxa"/>
            <w:vAlign w:val="center"/>
          </w:tcPr>
          <w:p w14:paraId="0AC669C2">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423" w:type="dxa"/>
            <w:vAlign w:val="center"/>
          </w:tcPr>
          <w:p w14:paraId="3A4F8C3F">
            <w:pPr>
              <w:pStyle w:val="14"/>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审计服务效率承诺</w:t>
            </w:r>
          </w:p>
        </w:tc>
        <w:tc>
          <w:tcPr>
            <w:tcW w:w="1591" w:type="dxa"/>
            <w:vAlign w:val="center"/>
          </w:tcPr>
          <w:p w14:paraId="594D1015">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6FE684F3">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073A734B">
            <w:pPr>
              <w:snapToGrid w:val="0"/>
              <w:spacing w:line="540" w:lineRule="exact"/>
              <w:rPr>
                <w:rFonts w:hint="eastAsia" w:ascii="仿宋" w:hAnsi="仿宋" w:eastAsia="仿宋" w:cs="仿宋"/>
                <w:color w:val="auto"/>
                <w:sz w:val="22"/>
                <w:szCs w:val="22"/>
                <w:highlight w:val="none"/>
              </w:rPr>
            </w:pPr>
          </w:p>
        </w:tc>
      </w:tr>
      <w:tr w14:paraId="07352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14:paraId="1362D77E">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423" w:type="dxa"/>
            <w:vAlign w:val="center"/>
          </w:tcPr>
          <w:p w14:paraId="220274B6">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其他资料</w:t>
            </w:r>
          </w:p>
        </w:tc>
        <w:tc>
          <w:tcPr>
            <w:tcW w:w="1591" w:type="dxa"/>
            <w:vAlign w:val="center"/>
          </w:tcPr>
          <w:p w14:paraId="3C97A2D5">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2AAE361F">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01C261E7">
            <w:pPr>
              <w:snapToGrid w:val="0"/>
              <w:spacing w:line="540" w:lineRule="exact"/>
              <w:rPr>
                <w:rFonts w:hint="eastAsia" w:ascii="仿宋" w:hAnsi="仿宋" w:eastAsia="仿宋" w:cs="仿宋"/>
                <w:color w:val="auto"/>
                <w:sz w:val="22"/>
                <w:szCs w:val="22"/>
                <w:highlight w:val="none"/>
              </w:rPr>
            </w:pPr>
          </w:p>
        </w:tc>
      </w:tr>
    </w:tbl>
    <w:p w14:paraId="21636ABA">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78C93583">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19127E38">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24F8FF6A">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01F01CFB">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2169E254">
      <w:pPr>
        <w:pStyle w:val="26"/>
        <w:rPr>
          <w:rFonts w:hint="eastAsia" w:ascii="仿宋" w:hAnsi="仿宋" w:eastAsia="仿宋" w:cs="仿宋"/>
          <w:color w:val="auto"/>
          <w:sz w:val="24"/>
          <w:szCs w:val="24"/>
        </w:rPr>
      </w:pPr>
    </w:p>
    <w:p w14:paraId="10BDDB12">
      <w:pPr>
        <w:pStyle w:val="27"/>
        <w:rPr>
          <w:rFonts w:hint="eastAsia" w:ascii="仿宋" w:hAnsi="仿宋" w:eastAsia="仿宋" w:cs="仿宋"/>
          <w:color w:val="auto"/>
          <w:sz w:val="24"/>
          <w:szCs w:val="24"/>
        </w:rPr>
      </w:pPr>
    </w:p>
    <w:p w14:paraId="55FDD7BC">
      <w:pPr>
        <w:rPr>
          <w:rFonts w:hint="eastAsia" w:ascii="仿宋" w:hAnsi="仿宋" w:eastAsia="仿宋" w:cs="仿宋"/>
          <w:color w:val="auto"/>
          <w:sz w:val="24"/>
          <w:szCs w:val="24"/>
        </w:rPr>
      </w:pPr>
    </w:p>
    <w:p w14:paraId="5B505BC9">
      <w:pPr>
        <w:pStyle w:val="26"/>
        <w:rPr>
          <w:rFonts w:hint="eastAsia" w:ascii="仿宋" w:hAnsi="仿宋" w:eastAsia="仿宋" w:cs="仿宋"/>
          <w:color w:val="auto"/>
          <w:sz w:val="24"/>
          <w:szCs w:val="24"/>
        </w:rPr>
      </w:pPr>
    </w:p>
    <w:p w14:paraId="0A145D53">
      <w:pPr>
        <w:pStyle w:val="27"/>
        <w:rPr>
          <w:rFonts w:hint="eastAsia" w:ascii="仿宋" w:hAnsi="仿宋" w:eastAsia="仿宋" w:cs="仿宋"/>
          <w:color w:val="auto"/>
          <w:sz w:val="24"/>
          <w:szCs w:val="24"/>
        </w:rPr>
      </w:pPr>
    </w:p>
    <w:p w14:paraId="6063EE3D">
      <w:pPr>
        <w:pStyle w:val="20"/>
        <w:rPr>
          <w:rFonts w:hint="eastAsia" w:ascii="仿宋" w:hAnsi="仿宋" w:eastAsia="仿宋" w:cs="仿宋"/>
          <w:color w:val="auto"/>
          <w:sz w:val="24"/>
          <w:szCs w:val="24"/>
        </w:rPr>
      </w:pPr>
    </w:p>
    <w:p w14:paraId="7821F0FC">
      <w:pPr>
        <w:pStyle w:val="27"/>
        <w:ind w:left="0" w:leftChars="0" w:firstLine="0" w:firstLineChars="0"/>
        <w:rPr>
          <w:rFonts w:hint="eastAsia" w:ascii="仿宋" w:hAnsi="仿宋" w:eastAsia="仿宋" w:cs="仿宋"/>
          <w:color w:val="auto"/>
          <w:sz w:val="24"/>
          <w:szCs w:val="24"/>
        </w:rPr>
      </w:pPr>
    </w:p>
    <w:p w14:paraId="2B940206">
      <w:pPr>
        <w:rPr>
          <w:rFonts w:hint="eastAsia"/>
        </w:rPr>
      </w:pPr>
    </w:p>
    <w:p w14:paraId="72B0FB0D">
      <w:pPr>
        <w:pStyle w:val="14"/>
        <w:spacing w:line="360" w:lineRule="auto"/>
        <w:jc w:val="center"/>
        <w:rPr>
          <w:rFonts w:hint="eastAsia" w:ascii="仿宋" w:hAnsi="仿宋" w:eastAsia="仿宋" w:cs="仿宋"/>
          <w:b/>
          <w:snapToGrid w:val="0"/>
          <w:color w:val="auto"/>
          <w:kern w:val="0"/>
          <w:sz w:val="36"/>
          <w:szCs w:val="36"/>
        </w:rPr>
      </w:pPr>
    </w:p>
    <w:p w14:paraId="3DAFB982">
      <w:pPr>
        <w:pStyle w:val="14"/>
        <w:spacing w:line="360" w:lineRule="auto"/>
        <w:jc w:val="center"/>
        <w:rPr>
          <w:rFonts w:hint="eastAsia" w:ascii="仿宋" w:hAnsi="仿宋" w:eastAsia="仿宋" w:cs="仿宋"/>
          <w:b/>
          <w:snapToGrid w:val="0"/>
          <w:color w:val="auto"/>
          <w:kern w:val="0"/>
          <w:sz w:val="36"/>
          <w:szCs w:val="36"/>
        </w:rPr>
      </w:pPr>
    </w:p>
    <w:p w14:paraId="519F7969">
      <w:pPr>
        <w:pStyle w:val="14"/>
        <w:spacing w:line="360" w:lineRule="auto"/>
        <w:jc w:val="center"/>
        <w:rPr>
          <w:rFonts w:hint="eastAsia" w:ascii="仿宋" w:hAnsi="仿宋" w:eastAsia="仿宋" w:cs="仿宋"/>
          <w:b/>
          <w:snapToGrid w:val="0"/>
          <w:color w:val="auto"/>
          <w:kern w:val="0"/>
          <w:sz w:val="36"/>
          <w:szCs w:val="36"/>
        </w:rPr>
      </w:pPr>
    </w:p>
    <w:p w14:paraId="37D4F328">
      <w:pPr>
        <w:pStyle w:val="14"/>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68ECCF52">
      <w:pPr>
        <w:pStyle w:val="14"/>
        <w:spacing w:line="360" w:lineRule="auto"/>
        <w:jc w:val="center"/>
        <w:rPr>
          <w:rFonts w:hint="eastAsia" w:ascii="仿宋" w:hAnsi="仿宋" w:eastAsia="仿宋" w:cs="仿宋"/>
          <w:b/>
          <w:snapToGrid w:val="0"/>
          <w:color w:val="auto"/>
          <w:kern w:val="0"/>
          <w:sz w:val="24"/>
          <w:szCs w:val="24"/>
        </w:rPr>
      </w:pPr>
    </w:p>
    <w:p w14:paraId="4B032788">
      <w:pPr>
        <w:bidi w:val="0"/>
        <w:rPr>
          <w:rFonts w:hint="eastAsia" w:ascii="仿宋" w:hAnsi="仿宋" w:eastAsia="仿宋" w:cs="仿宋"/>
          <w:color w:val="auto"/>
          <w:sz w:val="24"/>
          <w:szCs w:val="24"/>
          <w:lang w:val="en-US" w:eastAsia="zh-CN"/>
        </w:rPr>
      </w:pPr>
      <w:r>
        <w:rPr>
          <w:rFonts w:hint="eastAsia" w:ascii="仿宋" w:hAnsi="仿宋" w:eastAsia="仿宋" w:cs="仿宋"/>
          <w:color w:val="auto"/>
          <w:szCs w:val="24"/>
        </w:rPr>
        <w:t>项目名称：</w:t>
      </w:r>
      <w:r>
        <w:rPr>
          <w:rFonts w:hint="eastAsia" w:ascii="仿宋" w:hAnsi="仿宋" w:eastAsia="仿宋" w:cs="仿宋"/>
          <w:color w:val="auto"/>
          <w:szCs w:val="24"/>
          <w:lang w:val="en-US" w:eastAsia="zh-CN"/>
        </w:rPr>
        <w:t>许昌市城投发展集团有限公司专项审计服务</w:t>
      </w:r>
    </w:p>
    <w:tbl>
      <w:tblPr>
        <w:tblStyle w:val="28"/>
        <w:tblpPr w:leftFromText="180" w:rightFromText="180" w:vertAnchor="text" w:horzAnchor="page" w:tblpX="1794" w:tblpY="529"/>
        <w:tblOverlap w:val="never"/>
        <w:tblW w:w="8591" w:type="dxa"/>
        <w:tblInd w:w="0" w:type="dxa"/>
        <w:tblLayout w:type="fixed"/>
        <w:tblCellMar>
          <w:top w:w="0" w:type="dxa"/>
          <w:left w:w="108" w:type="dxa"/>
          <w:bottom w:w="0" w:type="dxa"/>
          <w:right w:w="108" w:type="dxa"/>
        </w:tblCellMar>
      </w:tblPr>
      <w:tblGrid>
        <w:gridCol w:w="741"/>
        <w:gridCol w:w="4143"/>
        <w:gridCol w:w="2615"/>
        <w:gridCol w:w="1092"/>
      </w:tblGrid>
      <w:tr w14:paraId="72432634">
        <w:tblPrEx>
          <w:tblCellMar>
            <w:top w:w="0" w:type="dxa"/>
            <w:left w:w="108" w:type="dxa"/>
            <w:bottom w:w="0" w:type="dxa"/>
            <w:right w:w="108" w:type="dxa"/>
          </w:tblCellMar>
        </w:tblPrEx>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14:paraId="09CB9588">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4143" w:type="dxa"/>
            <w:tcBorders>
              <w:top w:val="single" w:color="auto" w:sz="6" w:space="0"/>
              <w:left w:val="single" w:color="auto" w:sz="6" w:space="0"/>
              <w:bottom w:val="single" w:color="auto" w:sz="6" w:space="0"/>
              <w:right w:val="single" w:color="auto" w:sz="6" w:space="0"/>
            </w:tcBorders>
            <w:shd w:val="clear" w:color="auto" w:fill="F2F2F2"/>
            <w:vAlign w:val="center"/>
          </w:tcPr>
          <w:p w14:paraId="0D24A35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2615" w:type="dxa"/>
            <w:tcBorders>
              <w:top w:val="single" w:color="auto" w:sz="6" w:space="0"/>
              <w:left w:val="single" w:color="auto" w:sz="6" w:space="0"/>
              <w:bottom w:val="single" w:color="auto" w:sz="6" w:space="0"/>
              <w:right w:val="single" w:color="auto" w:sz="6" w:space="0"/>
            </w:tcBorders>
            <w:shd w:val="clear" w:color="auto" w:fill="F2F2F2"/>
            <w:vAlign w:val="center"/>
          </w:tcPr>
          <w:p w14:paraId="3A26F008">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092" w:type="dxa"/>
            <w:tcBorders>
              <w:top w:val="single" w:color="auto" w:sz="6" w:space="0"/>
              <w:left w:val="single" w:color="auto" w:sz="6" w:space="0"/>
              <w:bottom w:val="single" w:color="auto" w:sz="6" w:space="0"/>
              <w:right w:val="single" w:color="auto" w:sz="6" w:space="0"/>
            </w:tcBorders>
            <w:shd w:val="clear" w:color="auto" w:fill="F2F2F2"/>
            <w:vAlign w:val="center"/>
          </w:tcPr>
          <w:p w14:paraId="6B88BF71">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67C9934">
        <w:tblPrEx>
          <w:tblCellMar>
            <w:top w:w="0" w:type="dxa"/>
            <w:left w:w="108" w:type="dxa"/>
            <w:bottom w:w="0" w:type="dxa"/>
            <w:right w:w="108" w:type="dxa"/>
          </w:tblCellMar>
        </w:tblPrEx>
        <w:trPr>
          <w:trHeight w:val="2067" w:hRule="atLeast"/>
        </w:trPr>
        <w:tc>
          <w:tcPr>
            <w:tcW w:w="741" w:type="dxa"/>
            <w:tcBorders>
              <w:top w:val="single" w:color="auto" w:sz="6" w:space="0"/>
              <w:left w:val="single" w:color="auto" w:sz="6" w:space="0"/>
              <w:bottom w:val="single" w:color="auto" w:sz="6" w:space="0"/>
              <w:right w:val="single" w:color="auto" w:sz="6" w:space="0"/>
            </w:tcBorders>
            <w:vAlign w:val="center"/>
          </w:tcPr>
          <w:p w14:paraId="7A10F407">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4143" w:type="dxa"/>
            <w:tcBorders>
              <w:top w:val="single" w:color="auto" w:sz="6" w:space="0"/>
              <w:left w:val="single" w:color="auto" w:sz="6" w:space="0"/>
              <w:bottom w:val="single" w:color="auto" w:sz="6" w:space="0"/>
              <w:right w:val="single" w:color="auto" w:sz="6" w:space="0"/>
            </w:tcBorders>
            <w:vAlign w:val="center"/>
          </w:tcPr>
          <w:p w14:paraId="23F763A7">
            <w:pPr>
              <w:autoSpaceDE w:val="0"/>
              <w:autoSpaceDN w:val="0"/>
              <w:adjustRightInd w:val="0"/>
              <w:spacing w:line="540" w:lineRule="exact"/>
              <w:jc w:val="center"/>
              <w:rPr>
                <w:rFonts w:hint="default" w:ascii="仿宋" w:hAnsi="仿宋" w:eastAsia="仿宋" w:cs="仿宋"/>
                <w:b/>
                <w:bCs/>
                <w:color w:val="auto"/>
                <w:sz w:val="30"/>
                <w:szCs w:val="30"/>
                <w:highlight w:val="none"/>
                <w:lang w:val="en-US" w:eastAsia="zh-CN"/>
              </w:rPr>
            </w:pPr>
            <w:r>
              <w:rPr>
                <w:rFonts w:hint="default" w:ascii="仿宋" w:hAnsi="仿宋" w:eastAsia="仿宋" w:cs="仿宋"/>
                <w:b/>
                <w:bCs/>
                <w:color w:val="auto"/>
                <w:sz w:val="30"/>
                <w:szCs w:val="30"/>
                <w:highlight w:val="none"/>
                <w:lang w:val="en-US" w:eastAsia="zh-CN"/>
              </w:rPr>
              <w:t>许昌市城投发展集团有限公司专项审计服务</w:t>
            </w:r>
          </w:p>
        </w:tc>
        <w:tc>
          <w:tcPr>
            <w:tcW w:w="2615" w:type="dxa"/>
            <w:tcBorders>
              <w:top w:val="single" w:color="auto" w:sz="6" w:space="0"/>
              <w:left w:val="single" w:color="auto" w:sz="6" w:space="0"/>
              <w:bottom w:val="single" w:color="auto" w:sz="6" w:space="0"/>
              <w:right w:val="single" w:color="auto" w:sz="6" w:space="0"/>
            </w:tcBorders>
            <w:vAlign w:val="center"/>
          </w:tcPr>
          <w:p w14:paraId="3803E2F6">
            <w:pPr>
              <w:autoSpaceDE w:val="0"/>
              <w:autoSpaceDN w:val="0"/>
              <w:adjustRightInd w:val="0"/>
              <w:spacing w:line="540" w:lineRule="exact"/>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zh-CN" w:eastAsia="zh-CN"/>
              </w:rPr>
              <w:t>大写：</w:t>
            </w:r>
            <w:r>
              <w:rPr>
                <w:rFonts w:hint="eastAsia" w:ascii="仿宋" w:hAnsi="仿宋" w:eastAsia="仿宋" w:cs="仿宋"/>
                <w:b/>
                <w:bCs/>
                <w:color w:val="auto"/>
                <w:sz w:val="30"/>
                <w:szCs w:val="30"/>
                <w:highlight w:val="none"/>
                <w:lang w:val="en-US" w:eastAsia="zh-CN"/>
              </w:rPr>
              <w:t xml:space="preserve">             </w:t>
            </w:r>
          </w:p>
          <w:p w14:paraId="0B35DDBA">
            <w:pPr>
              <w:autoSpaceDE w:val="0"/>
              <w:autoSpaceDN w:val="0"/>
              <w:adjustRightInd w:val="0"/>
              <w:spacing w:line="540" w:lineRule="exact"/>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zh-CN" w:eastAsia="zh-CN"/>
              </w:rPr>
              <w:t>小写：</w:t>
            </w:r>
            <w:r>
              <w:rPr>
                <w:rFonts w:hint="eastAsia" w:ascii="仿宋" w:hAnsi="仿宋" w:eastAsia="仿宋" w:cs="仿宋"/>
                <w:b/>
                <w:bCs/>
                <w:color w:val="auto"/>
                <w:sz w:val="30"/>
                <w:szCs w:val="30"/>
                <w:highlight w:val="none"/>
                <w:lang w:val="en-US" w:eastAsia="zh-CN"/>
              </w:rPr>
              <w:t xml:space="preserve">     </w:t>
            </w:r>
          </w:p>
        </w:tc>
        <w:tc>
          <w:tcPr>
            <w:tcW w:w="1092" w:type="dxa"/>
            <w:tcBorders>
              <w:top w:val="single" w:color="auto" w:sz="6" w:space="0"/>
              <w:left w:val="single" w:color="auto" w:sz="6" w:space="0"/>
              <w:bottom w:val="single" w:color="auto" w:sz="6" w:space="0"/>
              <w:right w:val="single" w:color="auto" w:sz="6" w:space="0"/>
            </w:tcBorders>
            <w:vAlign w:val="center"/>
          </w:tcPr>
          <w:p w14:paraId="5AEE353E">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6820F27E">
      <w:pPr>
        <w:autoSpaceDE w:val="0"/>
        <w:autoSpaceDN w:val="0"/>
        <w:adjustRightInd w:val="0"/>
        <w:spacing w:line="480" w:lineRule="auto"/>
        <w:rPr>
          <w:rFonts w:hint="eastAsia" w:ascii="仿宋" w:hAnsi="仿宋" w:eastAsia="仿宋" w:cs="仿宋"/>
          <w:color w:val="auto"/>
          <w:sz w:val="24"/>
          <w:szCs w:val="24"/>
          <w:lang w:val="zh-CN"/>
        </w:rPr>
      </w:pPr>
    </w:p>
    <w:p w14:paraId="62376DC9">
      <w:pPr>
        <w:autoSpaceDE w:val="0"/>
        <w:autoSpaceDN w:val="0"/>
        <w:adjustRightInd w:val="0"/>
        <w:spacing w:line="480" w:lineRule="auto"/>
        <w:rPr>
          <w:rFonts w:hint="eastAsia" w:ascii="仿宋" w:hAnsi="仿宋" w:eastAsia="仿宋" w:cs="仿宋"/>
          <w:color w:val="auto"/>
          <w:sz w:val="24"/>
          <w:szCs w:val="24"/>
          <w:lang w:val="zh-CN"/>
        </w:rPr>
      </w:pPr>
    </w:p>
    <w:p w14:paraId="4608EE61">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2CB405E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03B5CF7C">
      <w:pPr>
        <w:rPr>
          <w:rFonts w:hint="eastAsia"/>
          <w:lang w:val="zh-CN"/>
        </w:rPr>
      </w:pPr>
      <w:r>
        <w:rPr>
          <w:rFonts w:hint="eastAsia" w:ascii="仿宋" w:hAnsi="仿宋" w:eastAsia="仿宋" w:cs="仿宋"/>
          <w:color w:val="auto"/>
          <w:sz w:val="24"/>
          <w:szCs w:val="24"/>
          <w:lang w:val="zh-CN"/>
        </w:rPr>
        <w:br w:type="page"/>
      </w:r>
    </w:p>
    <w:p w14:paraId="2718442A">
      <w:pPr>
        <w:pStyle w:val="14"/>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5D4A6A7E">
      <w:pPr>
        <w:pStyle w:val="26"/>
        <w:rPr>
          <w:rFonts w:hint="eastAsia" w:ascii="仿宋" w:hAnsi="仿宋" w:eastAsia="仿宋" w:cs="仿宋"/>
          <w:color w:val="auto"/>
          <w:sz w:val="24"/>
          <w:szCs w:val="24"/>
          <w:lang w:val="zh-CN"/>
        </w:rPr>
      </w:pPr>
    </w:p>
    <w:p w14:paraId="2809A42B">
      <w:pPr>
        <w:spacing w:line="480" w:lineRule="exact"/>
        <w:jc w:val="center"/>
        <w:rPr>
          <w:rFonts w:hint="eastAsia" w:ascii="仿宋" w:hAnsi="仿宋" w:eastAsia="仿宋" w:cs="仿宋"/>
          <w:b/>
          <w:bCs/>
          <w:color w:val="auto"/>
          <w:sz w:val="24"/>
          <w:szCs w:val="24"/>
        </w:rPr>
      </w:pPr>
    </w:p>
    <w:p w14:paraId="63E0CDA1">
      <w:pPr>
        <w:pStyle w:val="14"/>
        <w:spacing w:line="360" w:lineRule="auto"/>
        <w:jc w:val="center"/>
        <w:rPr>
          <w:rFonts w:hint="eastAsia" w:ascii="仿宋" w:hAnsi="仿宋" w:eastAsia="仿宋" w:cs="仿宋"/>
          <w:b/>
          <w:snapToGrid w:val="0"/>
          <w:color w:val="auto"/>
          <w:kern w:val="0"/>
          <w:sz w:val="36"/>
          <w:szCs w:val="36"/>
          <w:lang w:eastAsia="zh-CN"/>
        </w:rPr>
      </w:pPr>
    </w:p>
    <w:p w14:paraId="00AF0F2F">
      <w:pPr>
        <w:pStyle w:val="14"/>
        <w:spacing w:line="360" w:lineRule="auto"/>
        <w:jc w:val="center"/>
        <w:rPr>
          <w:rFonts w:hint="eastAsia" w:ascii="仿宋" w:hAnsi="仿宋" w:eastAsia="仿宋" w:cs="仿宋"/>
          <w:b/>
          <w:snapToGrid w:val="0"/>
          <w:color w:val="auto"/>
          <w:kern w:val="0"/>
          <w:sz w:val="36"/>
          <w:szCs w:val="36"/>
          <w:lang w:eastAsia="zh-CN"/>
        </w:rPr>
      </w:pPr>
    </w:p>
    <w:p w14:paraId="78BC1A9C">
      <w:pPr>
        <w:pStyle w:val="14"/>
        <w:spacing w:line="360" w:lineRule="auto"/>
        <w:jc w:val="center"/>
        <w:rPr>
          <w:rFonts w:hint="eastAsia" w:ascii="仿宋" w:hAnsi="仿宋" w:eastAsia="仿宋" w:cs="仿宋"/>
          <w:b/>
          <w:snapToGrid w:val="0"/>
          <w:color w:val="auto"/>
          <w:kern w:val="0"/>
          <w:sz w:val="36"/>
          <w:szCs w:val="36"/>
          <w:lang w:eastAsia="zh-CN"/>
        </w:rPr>
      </w:pPr>
    </w:p>
    <w:p w14:paraId="6F8D3B0A">
      <w:pPr>
        <w:pStyle w:val="14"/>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5878DD29">
      <w:pPr>
        <w:jc w:val="left"/>
        <w:rPr>
          <w:rFonts w:hint="eastAsia" w:ascii="仿宋" w:hAnsi="仿宋" w:eastAsia="仿宋" w:cs="仿宋"/>
          <w:b/>
          <w:bCs/>
          <w:color w:val="auto"/>
          <w:sz w:val="24"/>
          <w:szCs w:val="24"/>
        </w:rPr>
      </w:pPr>
    </w:p>
    <w:p w14:paraId="687F50B4">
      <w:pPr>
        <w:jc w:val="center"/>
        <w:rPr>
          <w:rFonts w:hint="eastAsia" w:ascii="仿宋" w:hAnsi="仿宋" w:eastAsia="仿宋" w:cs="仿宋"/>
          <w:b/>
          <w:bCs/>
          <w:color w:val="auto"/>
          <w:sz w:val="24"/>
          <w:szCs w:val="24"/>
          <w:lang w:val="en-US" w:eastAsia="zh-CN"/>
        </w:rPr>
      </w:pPr>
    </w:p>
    <w:p w14:paraId="1EB7B73F">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附营业执照、执业证书等</w:t>
      </w:r>
    </w:p>
    <w:p w14:paraId="1340A7B8">
      <w:pPr>
        <w:jc w:val="left"/>
        <w:rPr>
          <w:rFonts w:hint="eastAsia" w:ascii="仿宋" w:hAnsi="仿宋" w:eastAsia="仿宋" w:cs="仿宋"/>
          <w:b/>
          <w:bCs/>
          <w:color w:val="auto"/>
          <w:sz w:val="32"/>
          <w:szCs w:val="32"/>
        </w:rPr>
      </w:pPr>
    </w:p>
    <w:p w14:paraId="0FAFCF61">
      <w:pPr>
        <w:jc w:val="left"/>
        <w:rPr>
          <w:rFonts w:hint="eastAsia" w:ascii="仿宋" w:hAnsi="仿宋" w:eastAsia="仿宋" w:cs="仿宋"/>
          <w:b/>
          <w:bCs/>
          <w:color w:val="auto"/>
          <w:sz w:val="32"/>
          <w:szCs w:val="32"/>
        </w:rPr>
      </w:pPr>
    </w:p>
    <w:p w14:paraId="35FE2D97">
      <w:pPr>
        <w:jc w:val="left"/>
        <w:rPr>
          <w:rFonts w:hint="eastAsia" w:ascii="仿宋" w:hAnsi="仿宋" w:eastAsia="仿宋" w:cs="仿宋"/>
          <w:b/>
          <w:bCs/>
          <w:color w:val="auto"/>
          <w:sz w:val="32"/>
          <w:szCs w:val="32"/>
        </w:rPr>
      </w:pPr>
    </w:p>
    <w:p w14:paraId="4F098198">
      <w:pPr>
        <w:jc w:val="center"/>
        <w:rPr>
          <w:rFonts w:hint="eastAsia" w:ascii="仿宋" w:hAnsi="仿宋" w:eastAsia="仿宋" w:cs="仿宋"/>
          <w:b/>
          <w:bCs/>
          <w:color w:val="auto"/>
          <w:sz w:val="32"/>
          <w:szCs w:val="32"/>
          <w:lang w:val="en-US" w:eastAsia="zh-CN"/>
        </w:rPr>
      </w:pPr>
    </w:p>
    <w:p w14:paraId="2FB026BF">
      <w:pPr>
        <w:jc w:val="center"/>
        <w:rPr>
          <w:rFonts w:hint="eastAsia" w:ascii="仿宋" w:hAnsi="仿宋" w:eastAsia="仿宋" w:cs="仿宋"/>
          <w:b/>
          <w:bCs/>
          <w:color w:val="auto"/>
          <w:sz w:val="32"/>
          <w:szCs w:val="32"/>
          <w:lang w:val="en-US" w:eastAsia="zh-CN"/>
        </w:rPr>
      </w:pPr>
    </w:p>
    <w:p w14:paraId="2A7B7BFD">
      <w:pPr>
        <w:jc w:val="center"/>
        <w:rPr>
          <w:rFonts w:hint="default" w:ascii="仿宋" w:hAnsi="仿宋" w:eastAsia="仿宋" w:cs="仿宋"/>
          <w:b/>
          <w:bCs/>
          <w:color w:val="auto"/>
          <w:sz w:val="32"/>
          <w:szCs w:val="32"/>
          <w:lang w:val="en-US" w:eastAsia="zh-CN"/>
        </w:rPr>
      </w:pPr>
    </w:p>
    <w:p w14:paraId="3D40D3A9">
      <w:pPr>
        <w:jc w:val="left"/>
        <w:rPr>
          <w:rFonts w:hint="eastAsia" w:ascii="仿宋" w:hAnsi="仿宋" w:eastAsia="仿宋" w:cs="仿宋"/>
          <w:b/>
          <w:bCs/>
          <w:color w:val="auto"/>
          <w:sz w:val="32"/>
          <w:szCs w:val="32"/>
        </w:rPr>
      </w:pPr>
    </w:p>
    <w:p w14:paraId="3A66474F">
      <w:pPr>
        <w:jc w:val="both"/>
        <w:rPr>
          <w:rFonts w:hint="eastAsia" w:ascii="仿宋" w:hAnsi="仿宋" w:eastAsia="仿宋" w:cs="仿宋"/>
          <w:b/>
          <w:bCs/>
          <w:color w:val="auto"/>
          <w:sz w:val="32"/>
          <w:szCs w:val="32"/>
          <w:lang w:val="en-US" w:eastAsia="zh-CN"/>
        </w:rPr>
      </w:pPr>
    </w:p>
    <w:p w14:paraId="2574FE31">
      <w:pPr>
        <w:pStyle w:val="3"/>
        <w:numPr>
          <w:ilvl w:val="1"/>
          <w:numId w:val="0"/>
        </w:numPr>
        <w:rPr>
          <w:rFonts w:hint="eastAsia"/>
        </w:rPr>
      </w:pPr>
    </w:p>
    <w:p w14:paraId="77C820FD">
      <w:pPr>
        <w:jc w:val="left"/>
        <w:rPr>
          <w:rFonts w:hint="eastAsia" w:ascii="仿宋" w:hAnsi="仿宋" w:eastAsia="仿宋" w:cs="仿宋"/>
          <w:b/>
          <w:bCs/>
          <w:color w:val="auto"/>
          <w:sz w:val="24"/>
          <w:szCs w:val="24"/>
        </w:rPr>
      </w:pPr>
    </w:p>
    <w:p w14:paraId="186429F9">
      <w:pPr>
        <w:jc w:val="both"/>
        <w:rPr>
          <w:rFonts w:hint="eastAsia" w:ascii="仿宋" w:hAnsi="仿宋" w:eastAsia="仿宋" w:cs="仿宋"/>
          <w:b/>
          <w:bCs/>
          <w:color w:val="auto"/>
          <w:sz w:val="32"/>
          <w:szCs w:val="32"/>
          <w:lang w:val="en-US" w:eastAsia="zh-CN"/>
        </w:rPr>
      </w:pPr>
    </w:p>
    <w:p w14:paraId="1730852E">
      <w:pPr>
        <w:jc w:val="center"/>
        <w:rPr>
          <w:rFonts w:hint="eastAsia" w:ascii="仿宋" w:hAnsi="仿宋" w:eastAsia="仿宋" w:cs="仿宋"/>
          <w:b/>
          <w:bCs/>
          <w:color w:val="auto"/>
          <w:sz w:val="32"/>
          <w:szCs w:val="32"/>
          <w:lang w:val="en-US" w:eastAsia="zh-CN"/>
        </w:rPr>
      </w:pPr>
    </w:p>
    <w:p w14:paraId="7F504590">
      <w:pPr>
        <w:jc w:val="center"/>
        <w:rPr>
          <w:rFonts w:hint="eastAsia" w:ascii="仿宋" w:hAnsi="仿宋" w:eastAsia="仿宋" w:cs="仿宋"/>
          <w:b/>
          <w:bCs/>
          <w:color w:val="auto"/>
          <w:sz w:val="32"/>
          <w:szCs w:val="32"/>
          <w:lang w:val="en-US" w:eastAsia="zh-CN"/>
        </w:rPr>
      </w:pPr>
    </w:p>
    <w:p w14:paraId="435D9DCB">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7D6B4D35">
      <w:pPr>
        <w:autoSpaceDE w:val="0"/>
        <w:autoSpaceDN w:val="0"/>
        <w:adjustRightInd w:val="0"/>
        <w:spacing w:line="360" w:lineRule="auto"/>
        <w:jc w:val="center"/>
        <w:rPr>
          <w:rFonts w:hint="eastAsia" w:ascii="仿宋" w:hAnsi="仿宋" w:eastAsia="仿宋" w:cs="仿宋"/>
          <w:b/>
          <w:bCs/>
          <w:sz w:val="24"/>
          <w:szCs w:val="24"/>
        </w:rPr>
      </w:pPr>
    </w:p>
    <w:p w14:paraId="4C1F0E8A">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许昌市城投发展集团有限公司</w:t>
      </w:r>
      <w:r>
        <w:rPr>
          <w:rFonts w:hint="eastAsia" w:ascii="仿宋" w:hAnsi="仿宋" w:eastAsia="仿宋" w:cs="仿宋"/>
          <w:color w:val="000000"/>
          <w:kern w:val="0"/>
          <w:sz w:val="28"/>
          <w:szCs w:val="28"/>
          <w:lang w:val="en-US" w:eastAsia="zh-CN" w:bidi="ar"/>
        </w:rPr>
        <w:t xml:space="preserve">： </w:t>
      </w:r>
    </w:p>
    <w:p w14:paraId="4CC7A51D">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14:paraId="2FF647CF">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14:paraId="5C01F6C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14:paraId="24FA926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14:paraId="090DA4B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14:paraId="4DD3060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二十二条规定和招标文件、本承诺书的条件： </w:t>
      </w:r>
    </w:p>
    <w:p w14:paraId="2BA1EF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27A1B67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14:paraId="5437C3F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14:paraId="4E8D97C4">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（四）符合法律、行政法规规定的其他条件。</w:t>
      </w:r>
    </w:p>
    <w:p w14:paraId="1E9D779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（五）未被中国银行间市场交易商协会取消、暂停会员资格或出现被处罚等影响本次债务融资工具审计服务能力的情况。</w:t>
      </w:r>
    </w:p>
    <w:p w14:paraId="7EFE9AA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w:t>
      </w:r>
      <w:r>
        <w:rPr>
          <w:rFonts w:hint="eastAsia" w:ascii="仿宋" w:hAnsi="仿宋" w:eastAsia="仿宋" w:cs="仿宋"/>
          <w:color w:val="000000"/>
          <w:kern w:val="0"/>
          <w:sz w:val="28"/>
          <w:szCs w:val="28"/>
          <w:highlight w:val="none"/>
          <w:lang w:val="en-US" w:eastAsia="zh-CN" w:bidi="ar"/>
        </w:rPr>
        <w:t xml:space="preserve">愿按照规定将违背承诺行为作为失信行为记录到社会信用信息平台，列入不良行为记录名单，在两年内禁止参加城投集团及子公司的所有招标（比选）活动。 </w:t>
      </w:r>
    </w:p>
    <w:p w14:paraId="0FE45E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14:paraId="18EBDC0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8E5505C">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14:paraId="753593D6">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14:paraId="6CF1AA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73BC0F4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8C6EEE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2A4BC2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BFB3AE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47ECC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2B9AE4">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CB27B30">
      <w:pPr>
        <w:rPr>
          <w:rFonts w:hint="eastAsia" w:ascii="仿宋" w:hAnsi="仿宋" w:eastAsia="仿宋" w:cs="仿宋"/>
          <w:lang w:val="zh-CN"/>
        </w:rPr>
      </w:pPr>
    </w:p>
    <w:p w14:paraId="1492176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F613A4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5BD1B5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27CE0F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F65C456">
      <w:pPr>
        <w:pStyle w:val="3"/>
        <w:numPr>
          <w:ilvl w:val="1"/>
          <w:numId w:val="0"/>
        </w:numPr>
        <w:rPr>
          <w:rFonts w:hint="eastAsia"/>
          <w:lang w:val="zh-CN"/>
        </w:rPr>
      </w:pPr>
    </w:p>
    <w:p w14:paraId="6463855F">
      <w:pPr>
        <w:pStyle w:val="14"/>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26704A53">
      <w:pPr>
        <w:pStyle w:val="14"/>
        <w:spacing w:line="360" w:lineRule="auto"/>
        <w:jc w:val="center"/>
        <w:rPr>
          <w:rFonts w:hint="eastAsia" w:ascii="仿宋" w:hAnsi="仿宋" w:eastAsia="仿宋" w:cs="仿宋"/>
          <w:b/>
          <w:bCs/>
          <w:color w:val="auto"/>
          <w:sz w:val="28"/>
          <w:szCs w:val="28"/>
          <w:highlight w:val="none"/>
          <w:lang w:val="en-US" w:eastAsia="zh-CN"/>
        </w:rPr>
      </w:pPr>
    </w:p>
    <w:p w14:paraId="44C199F4">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56D436A8">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（投标人自行编制，需附项目团队人员会计从业资格证明文件）</w:t>
      </w:r>
    </w:p>
    <w:p w14:paraId="12244ACF">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7C0A12FC">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445396DE">
      <w:pPr>
        <w:pStyle w:val="14"/>
        <w:spacing w:line="360" w:lineRule="auto"/>
        <w:jc w:val="center"/>
        <w:rPr>
          <w:rFonts w:hint="eastAsia" w:ascii="仿宋" w:hAnsi="仿宋" w:eastAsia="仿宋" w:cs="仿宋"/>
          <w:b/>
          <w:bCs/>
          <w:color w:val="auto"/>
          <w:sz w:val="28"/>
          <w:szCs w:val="28"/>
          <w:highlight w:val="none"/>
        </w:rPr>
      </w:pPr>
    </w:p>
    <w:p w14:paraId="2077C8D9">
      <w:pPr>
        <w:pStyle w:val="14"/>
        <w:spacing w:line="360" w:lineRule="auto"/>
        <w:jc w:val="center"/>
        <w:rPr>
          <w:rFonts w:hint="eastAsia" w:ascii="仿宋" w:hAnsi="仿宋" w:eastAsia="仿宋" w:cs="仿宋"/>
          <w:b/>
          <w:bCs/>
          <w:color w:val="auto"/>
          <w:sz w:val="28"/>
          <w:szCs w:val="28"/>
          <w:highlight w:val="none"/>
        </w:rPr>
      </w:pPr>
    </w:p>
    <w:p w14:paraId="6BFAC3CA">
      <w:pPr>
        <w:pStyle w:val="14"/>
        <w:spacing w:line="360" w:lineRule="auto"/>
        <w:jc w:val="center"/>
        <w:rPr>
          <w:rFonts w:hint="eastAsia" w:ascii="仿宋" w:hAnsi="仿宋" w:eastAsia="仿宋" w:cs="仿宋"/>
          <w:b/>
          <w:bCs/>
          <w:color w:val="auto"/>
          <w:sz w:val="28"/>
          <w:szCs w:val="28"/>
          <w:highlight w:val="none"/>
        </w:rPr>
      </w:pPr>
    </w:p>
    <w:p w14:paraId="6019CD5B">
      <w:pPr>
        <w:rPr>
          <w:rFonts w:hint="eastAsia" w:ascii="仿宋" w:hAnsi="仿宋" w:eastAsia="仿宋" w:cs="仿宋"/>
          <w:color w:val="auto"/>
          <w:sz w:val="20"/>
          <w:szCs w:val="18"/>
          <w:highlight w:val="none"/>
        </w:rPr>
      </w:pPr>
    </w:p>
    <w:p w14:paraId="40F80FE5">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5.2审计服务方案</w:t>
      </w:r>
    </w:p>
    <w:p w14:paraId="6AC58AAA">
      <w:pPr>
        <w:pStyle w:val="14"/>
        <w:spacing w:line="360" w:lineRule="auto"/>
        <w:jc w:val="center"/>
        <w:rPr>
          <w:rFonts w:hint="eastAsia" w:ascii="仿宋" w:hAnsi="仿宋" w:eastAsia="仿宋" w:cs="仿宋"/>
          <w:b/>
          <w:bCs/>
          <w:color w:val="auto"/>
          <w:sz w:val="28"/>
          <w:szCs w:val="28"/>
          <w:highlight w:val="none"/>
        </w:rPr>
      </w:pPr>
    </w:p>
    <w:p w14:paraId="2CCAA72B">
      <w:pPr>
        <w:pStyle w:val="14"/>
        <w:spacing w:line="360" w:lineRule="auto"/>
        <w:jc w:val="both"/>
        <w:rPr>
          <w:rFonts w:hint="eastAsia" w:ascii="仿宋" w:hAnsi="仿宋" w:eastAsia="仿宋" w:cs="仿宋"/>
          <w:b/>
          <w:bCs/>
          <w:color w:val="auto"/>
          <w:sz w:val="28"/>
          <w:szCs w:val="28"/>
          <w:highlight w:val="none"/>
        </w:rPr>
      </w:pPr>
    </w:p>
    <w:p w14:paraId="73895091">
      <w:pPr>
        <w:pStyle w:val="14"/>
        <w:spacing w:line="360" w:lineRule="auto"/>
        <w:jc w:val="both"/>
        <w:rPr>
          <w:rFonts w:hint="eastAsia" w:ascii="仿宋" w:hAnsi="仿宋" w:eastAsia="仿宋" w:cs="仿宋"/>
          <w:b/>
          <w:bCs/>
          <w:color w:val="auto"/>
          <w:sz w:val="28"/>
          <w:szCs w:val="28"/>
          <w:highlight w:val="none"/>
        </w:rPr>
      </w:pPr>
    </w:p>
    <w:p w14:paraId="0AFBFC3D">
      <w:pPr>
        <w:pStyle w:val="14"/>
        <w:spacing w:line="360" w:lineRule="auto"/>
        <w:jc w:val="both"/>
        <w:rPr>
          <w:rFonts w:hint="eastAsia" w:ascii="仿宋" w:hAnsi="仿宋" w:eastAsia="仿宋" w:cs="仿宋"/>
          <w:b/>
          <w:bCs/>
          <w:color w:val="auto"/>
          <w:sz w:val="28"/>
          <w:szCs w:val="28"/>
          <w:highlight w:val="none"/>
        </w:rPr>
      </w:pPr>
    </w:p>
    <w:p w14:paraId="69F9B443">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5.3债券业务审计服务业绩</w:t>
      </w:r>
    </w:p>
    <w:p w14:paraId="0443F8AB">
      <w:pPr>
        <w:pStyle w:val="14"/>
        <w:spacing w:line="360" w:lineRule="auto"/>
        <w:jc w:val="center"/>
        <w:rPr>
          <w:rFonts w:hint="eastAsia" w:ascii="仿宋" w:hAnsi="仿宋" w:eastAsia="仿宋" w:cs="仿宋"/>
          <w:b/>
          <w:bCs/>
          <w:color w:val="auto"/>
          <w:sz w:val="28"/>
          <w:szCs w:val="28"/>
          <w:highlight w:val="none"/>
          <w:lang w:val="en-US" w:eastAsia="zh-CN"/>
        </w:rPr>
      </w:pPr>
    </w:p>
    <w:p w14:paraId="64227845">
      <w:pPr>
        <w:pStyle w:val="14"/>
        <w:spacing w:line="360" w:lineRule="auto"/>
        <w:jc w:val="center"/>
        <w:rPr>
          <w:rFonts w:hint="eastAsia" w:ascii="仿宋" w:hAnsi="仿宋" w:eastAsia="仿宋" w:cs="仿宋"/>
          <w:b/>
          <w:bCs/>
          <w:color w:val="auto"/>
          <w:sz w:val="28"/>
          <w:szCs w:val="28"/>
          <w:highlight w:val="none"/>
          <w:lang w:val="en-US" w:eastAsia="zh-CN"/>
        </w:rPr>
      </w:pPr>
    </w:p>
    <w:p w14:paraId="6E7E25FB">
      <w:pPr>
        <w:pStyle w:val="14"/>
        <w:spacing w:line="360" w:lineRule="auto"/>
        <w:jc w:val="both"/>
        <w:rPr>
          <w:rFonts w:hint="eastAsia" w:ascii="仿宋" w:hAnsi="仿宋" w:eastAsia="仿宋" w:cs="仿宋"/>
          <w:b/>
          <w:bCs/>
          <w:color w:val="auto"/>
          <w:sz w:val="28"/>
          <w:szCs w:val="28"/>
          <w:highlight w:val="none"/>
          <w:lang w:val="en-US" w:eastAsia="zh-CN"/>
        </w:rPr>
      </w:pPr>
    </w:p>
    <w:p w14:paraId="65F6F9AE">
      <w:pPr>
        <w:pStyle w:val="14"/>
        <w:spacing w:line="360" w:lineRule="auto"/>
        <w:jc w:val="both"/>
        <w:rPr>
          <w:rFonts w:hint="eastAsia" w:ascii="仿宋" w:hAnsi="仿宋" w:eastAsia="仿宋" w:cs="仿宋"/>
          <w:b/>
          <w:bCs/>
          <w:color w:val="auto"/>
          <w:sz w:val="28"/>
          <w:szCs w:val="28"/>
          <w:highlight w:val="none"/>
          <w:lang w:val="en-US" w:eastAsia="zh-CN"/>
        </w:rPr>
      </w:pPr>
    </w:p>
    <w:p w14:paraId="101132C1">
      <w:pPr>
        <w:pStyle w:val="14"/>
        <w:spacing w:line="360" w:lineRule="auto"/>
        <w:jc w:val="both"/>
        <w:rPr>
          <w:rFonts w:hint="eastAsia" w:ascii="仿宋" w:hAnsi="仿宋" w:eastAsia="仿宋" w:cs="仿宋"/>
          <w:b/>
          <w:bCs/>
          <w:color w:val="auto"/>
          <w:sz w:val="28"/>
          <w:szCs w:val="28"/>
          <w:highlight w:val="none"/>
          <w:lang w:val="en-US" w:eastAsia="zh-CN"/>
        </w:rPr>
      </w:pPr>
    </w:p>
    <w:p w14:paraId="2C924464">
      <w:pPr>
        <w:pStyle w:val="14"/>
        <w:spacing w:line="360" w:lineRule="auto"/>
        <w:ind w:firstLine="562"/>
        <w:jc w:val="both"/>
        <w:rPr>
          <w:rFonts w:hint="default" w:ascii="仿宋" w:hAnsi="仿宋" w:eastAsia="仿宋" w:cs="仿宋"/>
          <w:b/>
          <w:bCs/>
          <w:color w:val="auto"/>
          <w:sz w:val="28"/>
          <w:szCs w:val="28"/>
          <w:highlight w:val="none"/>
          <w:lang w:val="en-US" w:eastAsia="zh-CN"/>
        </w:rPr>
      </w:pPr>
    </w:p>
    <w:p w14:paraId="1AD8E891">
      <w:pPr>
        <w:pStyle w:val="14"/>
        <w:spacing w:line="360" w:lineRule="auto"/>
        <w:jc w:val="both"/>
        <w:rPr>
          <w:rFonts w:hint="eastAsia" w:ascii="仿宋" w:hAnsi="仿宋" w:eastAsia="仿宋" w:cs="仿宋"/>
          <w:b/>
          <w:bCs/>
          <w:color w:val="auto"/>
          <w:sz w:val="28"/>
          <w:szCs w:val="28"/>
          <w:highlight w:val="none"/>
          <w:lang w:val="en-US" w:eastAsia="zh-CN"/>
        </w:rPr>
      </w:pPr>
    </w:p>
    <w:p w14:paraId="553881C0">
      <w:pPr>
        <w:pStyle w:val="14"/>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660E29CF">
      <w:pPr>
        <w:pStyle w:val="14"/>
        <w:spacing w:line="360" w:lineRule="auto"/>
        <w:jc w:val="center"/>
        <w:rPr>
          <w:rFonts w:hint="eastAsia" w:ascii="仿宋" w:hAnsi="仿宋" w:eastAsia="仿宋" w:cs="仿宋"/>
          <w:b/>
          <w:bCs/>
          <w:color w:val="auto"/>
          <w:sz w:val="28"/>
          <w:szCs w:val="28"/>
          <w:highlight w:val="none"/>
        </w:rPr>
      </w:pPr>
    </w:p>
    <w:p w14:paraId="6EAA9B03">
      <w:pPr>
        <w:pStyle w:val="14"/>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5BA5A15D">
      <w:pPr>
        <w:pStyle w:val="3"/>
        <w:numPr>
          <w:ilvl w:val="1"/>
          <w:numId w:val="0"/>
        </w:numPr>
        <w:rPr>
          <w:rFonts w:hint="eastAsia"/>
          <w:lang w:eastAsia="zh-CN"/>
        </w:rPr>
      </w:pPr>
    </w:p>
    <w:p w14:paraId="5D32D5B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r>
        <w:rPr>
          <w:rFonts w:hint="eastAsia" w:ascii="仿宋" w:hAnsi="仿宋" w:eastAsia="仿宋" w:cs="仿宋"/>
          <w:b/>
          <w:color w:val="auto"/>
          <w:sz w:val="36"/>
          <w:szCs w:val="36"/>
          <w:shd w:val="clear" w:color="060000" w:fill="auto"/>
          <w:lang w:eastAsia="zh-CN"/>
        </w:rPr>
        <w:t>注：投标文件首页加盖公章，并加盖骑缝章。</w:t>
      </w: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2F9F6">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8EC0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58EC0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8A7D">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132E2">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1D7132E2">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1AE867E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F363">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9163B">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5DC9163B">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abstractNum w:abstractNumId="4">
    <w:nsid w:val="67C357B0"/>
    <w:multiLevelType w:val="singleLevel"/>
    <w:tmpl w:val="67C357B0"/>
    <w:lvl w:ilvl="0" w:tentative="0">
      <w:start w:val="1"/>
      <w:numFmt w:val="decimal"/>
      <w:suff w:val="nothing"/>
      <w:lvlText w:val="%1、"/>
      <w:lvlJc w:val="left"/>
    </w:lvl>
  </w:abstractNum>
  <w:abstractNum w:abstractNumId="5">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E7B94"/>
    <w:rsid w:val="00FF3955"/>
    <w:rsid w:val="010C0502"/>
    <w:rsid w:val="015A0EEF"/>
    <w:rsid w:val="01944054"/>
    <w:rsid w:val="019B2BEF"/>
    <w:rsid w:val="01A548CD"/>
    <w:rsid w:val="01A754AC"/>
    <w:rsid w:val="01F42D45"/>
    <w:rsid w:val="02326E3B"/>
    <w:rsid w:val="02553FCA"/>
    <w:rsid w:val="026A40B0"/>
    <w:rsid w:val="02E62FD5"/>
    <w:rsid w:val="02FB57F1"/>
    <w:rsid w:val="0308368E"/>
    <w:rsid w:val="030B47EA"/>
    <w:rsid w:val="03AA0450"/>
    <w:rsid w:val="03FC5F2A"/>
    <w:rsid w:val="03FD2384"/>
    <w:rsid w:val="03FE312B"/>
    <w:rsid w:val="048E7480"/>
    <w:rsid w:val="04992949"/>
    <w:rsid w:val="04AE0156"/>
    <w:rsid w:val="04C3537C"/>
    <w:rsid w:val="05020FB4"/>
    <w:rsid w:val="053334A3"/>
    <w:rsid w:val="056326BB"/>
    <w:rsid w:val="05683C70"/>
    <w:rsid w:val="058F525E"/>
    <w:rsid w:val="059861B2"/>
    <w:rsid w:val="05FB5A9A"/>
    <w:rsid w:val="05FC1EA1"/>
    <w:rsid w:val="06124783"/>
    <w:rsid w:val="06551615"/>
    <w:rsid w:val="06C947A0"/>
    <w:rsid w:val="06E14AFA"/>
    <w:rsid w:val="06FF2B3A"/>
    <w:rsid w:val="073267E9"/>
    <w:rsid w:val="076745CB"/>
    <w:rsid w:val="07726C54"/>
    <w:rsid w:val="07862691"/>
    <w:rsid w:val="079166EF"/>
    <w:rsid w:val="07C1191B"/>
    <w:rsid w:val="07EE6482"/>
    <w:rsid w:val="07F36299"/>
    <w:rsid w:val="080000C0"/>
    <w:rsid w:val="0840235A"/>
    <w:rsid w:val="086E1AA3"/>
    <w:rsid w:val="08B20716"/>
    <w:rsid w:val="08CB210B"/>
    <w:rsid w:val="08D47156"/>
    <w:rsid w:val="08DA591A"/>
    <w:rsid w:val="09092C22"/>
    <w:rsid w:val="09387C3D"/>
    <w:rsid w:val="094B62C2"/>
    <w:rsid w:val="09A82D92"/>
    <w:rsid w:val="09FD7499"/>
    <w:rsid w:val="0A0107ED"/>
    <w:rsid w:val="0A081B65"/>
    <w:rsid w:val="0A0F77E2"/>
    <w:rsid w:val="0A1741F1"/>
    <w:rsid w:val="0A216EF0"/>
    <w:rsid w:val="0A4C1970"/>
    <w:rsid w:val="0A873F23"/>
    <w:rsid w:val="0AA96DC2"/>
    <w:rsid w:val="0AB17A25"/>
    <w:rsid w:val="0AD41965"/>
    <w:rsid w:val="0B1F3CE3"/>
    <w:rsid w:val="0B367E19"/>
    <w:rsid w:val="0BC62C8C"/>
    <w:rsid w:val="0BCF6E3B"/>
    <w:rsid w:val="0BF4439B"/>
    <w:rsid w:val="0BFF607D"/>
    <w:rsid w:val="0C2D568A"/>
    <w:rsid w:val="0C394176"/>
    <w:rsid w:val="0C6B181D"/>
    <w:rsid w:val="0C85421C"/>
    <w:rsid w:val="0CE27C09"/>
    <w:rsid w:val="0CE82126"/>
    <w:rsid w:val="0CEA36C2"/>
    <w:rsid w:val="0CEF0CD8"/>
    <w:rsid w:val="0D1D75F3"/>
    <w:rsid w:val="0D5D0460"/>
    <w:rsid w:val="0D6D6787"/>
    <w:rsid w:val="0D7D0092"/>
    <w:rsid w:val="0D8E229F"/>
    <w:rsid w:val="0DB205B8"/>
    <w:rsid w:val="0DB22432"/>
    <w:rsid w:val="0DF90060"/>
    <w:rsid w:val="0E0908A4"/>
    <w:rsid w:val="0E1651AA"/>
    <w:rsid w:val="0E3F42A4"/>
    <w:rsid w:val="0E59677C"/>
    <w:rsid w:val="0E5C05EF"/>
    <w:rsid w:val="0F29227F"/>
    <w:rsid w:val="0F3C1993"/>
    <w:rsid w:val="0F3F5ECC"/>
    <w:rsid w:val="0F5B5841"/>
    <w:rsid w:val="0F8C6010"/>
    <w:rsid w:val="0F920F42"/>
    <w:rsid w:val="0FF1616E"/>
    <w:rsid w:val="106A54DC"/>
    <w:rsid w:val="10A96A1D"/>
    <w:rsid w:val="10B93643"/>
    <w:rsid w:val="10BC2049"/>
    <w:rsid w:val="10C77C97"/>
    <w:rsid w:val="10DB5A15"/>
    <w:rsid w:val="11074A45"/>
    <w:rsid w:val="112B13E4"/>
    <w:rsid w:val="113E7AD2"/>
    <w:rsid w:val="11431174"/>
    <w:rsid w:val="115715E8"/>
    <w:rsid w:val="116D470F"/>
    <w:rsid w:val="11702FA8"/>
    <w:rsid w:val="117C5F04"/>
    <w:rsid w:val="11845B85"/>
    <w:rsid w:val="118E0DF0"/>
    <w:rsid w:val="11B251A7"/>
    <w:rsid w:val="11C56917"/>
    <w:rsid w:val="11CF3222"/>
    <w:rsid w:val="11EC4489"/>
    <w:rsid w:val="11FA4BEA"/>
    <w:rsid w:val="12127FED"/>
    <w:rsid w:val="121466FB"/>
    <w:rsid w:val="12691FF2"/>
    <w:rsid w:val="12724E69"/>
    <w:rsid w:val="12B652F8"/>
    <w:rsid w:val="12B75B24"/>
    <w:rsid w:val="12F26B7A"/>
    <w:rsid w:val="12FC6FC7"/>
    <w:rsid w:val="132964DD"/>
    <w:rsid w:val="13405DEA"/>
    <w:rsid w:val="134273A6"/>
    <w:rsid w:val="134D2675"/>
    <w:rsid w:val="138959E3"/>
    <w:rsid w:val="13DD188A"/>
    <w:rsid w:val="1417033E"/>
    <w:rsid w:val="14257A9C"/>
    <w:rsid w:val="14260297"/>
    <w:rsid w:val="1461426A"/>
    <w:rsid w:val="14B9009A"/>
    <w:rsid w:val="14C13DF5"/>
    <w:rsid w:val="14DD52B7"/>
    <w:rsid w:val="1568300C"/>
    <w:rsid w:val="1578154F"/>
    <w:rsid w:val="15B61D16"/>
    <w:rsid w:val="15D370F1"/>
    <w:rsid w:val="15DC5FD5"/>
    <w:rsid w:val="15FB041F"/>
    <w:rsid w:val="1613047C"/>
    <w:rsid w:val="16311C5B"/>
    <w:rsid w:val="16634A5A"/>
    <w:rsid w:val="16797AE5"/>
    <w:rsid w:val="168D490F"/>
    <w:rsid w:val="169B0083"/>
    <w:rsid w:val="16A23764"/>
    <w:rsid w:val="16AE1F94"/>
    <w:rsid w:val="16D47B5C"/>
    <w:rsid w:val="16F6268C"/>
    <w:rsid w:val="172054F7"/>
    <w:rsid w:val="17294B3E"/>
    <w:rsid w:val="17317322"/>
    <w:rsid w:val="1765168D"/>
    <w:rsid w:val="17AB5D47"/>
    <w:rsid w:val="17CE7E68"/>
    <w:rsid w:val="17FB49D5"/>
    <w:rsid w:val="17FC0062"/>
    <w:rsid w:val="184B4CB4"/>
    <w:rsid w:val="185022E7"/>
    <w:rsid w:val="18DE17DA"/>
    <w:rsid w:val="191B509A"/>
    <w:rsid w:val="19B117EF"/>
    <w:rsid w:val="19C26506"/>
    <w:rsid w:val="19CE23A1"/>
    <w:rsid w:val="19CF5DED"/>
    <w:rsid w:val="19D13793"/>
    <w:rsid w:val="1A275FCD"/>
    <w:rsid w:val="1A5359A6"/>
    <w:rsid w:val="1A943AF7"/>
    <w:rsid w:val="1AF8344E"/>
    <w:rsid w:val="1BA57132"/>
    <w:rsid w:val="1BB548EA"/>
    <w:rsid w:val="1BC670A8"/>
    <w:rsid w:val="1C1B1EB3"/>
    <w:rsid w:val="1C64690B"/>
    <w:rsid w:val="1CC40435"/>
    <w:rsid w:val="1CD42406"/>
    <w:rsid w:val="1CE0656D"/>
    <w:rsid w:val="1D2C734C"/>
    <w:rsid w:val="1DE85A76"/>
    <w:rsid w:val="1E03326D"/>
    <w:rsid w:val="1E2F3584"/>
    <w:rsid w:val="1E4470D6"/>
    <w:rsid w:val="1E4F0105"/>
    <w:rsid w:val="1E5866DD"/>
    <w:rsid w:val="1E700A63"/>
    <w:rsid w:val="1E8F2A30"/>
    <w:rsid w:val="1E94348E"/>
    <w:rsid w:val="1EA41285"/>
    <w:rsid w:val="1ED94129"/>
    <w:rsid w:val="1EE514B6"/>
    <w:rsid w:val="1EFF4E05"/>
    <w:rsid w:val="1F0749CA"/>
    <w:rsid w:val="1F4304FF"/>
    <w:rsid w:val="1F54299E"/>
    <w:rsid w:val="1F667C26"/>
    <w:rsid w:val="1F711DBC"/>
    <w:rsid w:val="1F867702"/>
    <w:rsid w:val="1F892C3A"/>
    <w:rsid w:val="1FA27D3A"/>
    <w:rsid w:val="1FE21EC2"/>
    <w:rsid w:val="201008A9"/>
    <w:rsid w:val="20136519"/>
    <w:rsid w:val="201C373B"/>
    <w:rsid w:val="20606958"/>
    <w:rsid w:val="20820C14"/>
    <w:rsid w:val="20AA62CB"/>
    <w:rsid w:val="20B00A53"/>
    <w:rsid w:val="211F34E2"/>
    <w:rsid w:val="215B337E"/>
    <w:rsid w:val="216C04F5"/>
    <w:rsid w:val="217B07D6"/>
    <w:rsid w:val="218712BD"/>
    <w:rsid w:val="21A2432F"/>
    <w:rsid w:val="21CD73E2"/>
    <w:rsid w:val="21D00C81"/>
    <w:rsid w:val="220254EF"/>
    <w:rsid w:val="22266AF2"/>
    <w:rsid w:val="232C2F57"/>
    <w:rsid w:val="23A81EB5"/>
    <w:rsid w:val="23B100DE"/>
    <w:rsid w:val="23B6787C"/>
    <w:rsid w:val="23E21E1B"/>
    <w:rsid w:val="243125A8"/>
    <w:rsid w:val="244A40D4"/>
    <w:rsid w:val="24657AC4"/>
    <w:rsid w:val="24882976"/>
    <w:rsid w:val="251578C4"/>
    <w:rsid w:val="25253340"/>
    <w:rsid w:val="2544167D"/>
    <w:rsid w:val="25866263"/>
    <w:rsid w:val="258F065A"/>
    <w:rsid w:val="25D6438C"/>
    <w:rsid w:val="25E62821"/>
    <w:rsid w:val="262923F6"/>
    <w:rsid w:val="26840989"/>
    <w:rsid w:val="26924756"/>
    <w:rsid w:val="26D97E99"/>
    <w:rsid w:val="270F0DDD"/>
    <w:rsid w:val="271146E5"/>
    <w:rsid w:val="271907E2"/>
    <w:rsid w:val="27295DF1"/>
    <w:rsid w:val="2735397F"/>
    <w:rsid w:val="27406D98"/>
    <w:rsid w:val="274912B9"/>
    <w:rsid w:val="279D482F"/>
    <w:rsid w:val="27C645BC"/>
    <w:rsid w:val="27CD64A0"/>
    <w:rsid w:val="27EC4921"/>
    <w:rsid w:val="28120F00"/>
    <w:rsid w:val="28326AA6"/>
    <w:rsid w:val="28520A01"/>
    <w:rsid w:val="286C3DC6"/>
    <w:rsid w:val="288874B8"/>
    <w:rsid w:val="28A41075"/>
    <w:rsid w:val="28A7322C"/>
    <w:rsid w:val="28AD1416"/>
    <w:rsid w:val="28FA35CB"/>
    <w:rsid w:val="291A53C6"/>
    <w:rsid w:val="292D4147"/>
    <w:rsid w:val="29695641"/>
    <w:rsid w:val="297840D8"/>
    <w:rsid w:val="29D46E34"/>
    <w:rsid w:val="29E7010E"/>
    <w:rsid w:val="29EA3339"/>
    <w:rsid w:val="29F660A7"/>
    <w:rsid w:val="2A0E114D"/>
    <w:rsid w:val="2A327707"/>
    <w:rsid w:val="2A7423E6"/>
    <w:rsid w:val="2A9A62D0"/>
    <w:rsid w:val="2AE97D0D"/>
    <w:rsid w:val="2B0B2D29"/>
    <w:rsid w:val="2B1C0D4E"/>
    <w:rsid w:val="2B3B74A1"/>
    <w:rsid w:val="2B55010B"/>
    <w:rsid w:val="2C1F6A8C"/>
    <w:rsid w:val="2C212804"/>
    <w:rsid w:val="2C81364F"/>
    <w:rsid w:val="2CA3146B"/>
    <w:rsid w:val="2CE0006A"/>
    <w:rsid w:val="2CE46E4B"/>
    <w:rsid w:val="2CFE05A2"/>
    <w:rsid w:val="2D17374A"/>
    <w:rsid w:val="2D306F2B"/>
    <w:rsid w:val="2DB15E8A"/>
    <w:rsid w:val="2DCE0BC4"/>
    <w:rsid w:val="2DCE1EBA"/>
    <w:rsid w:val="2E141EF5"/>
    <w:rsid w:val="2E59637B"/>
    <w:rsid w:val="2E5F5866"/>
    <w:rsid w:val="2ECB4055"/>
    <w:rsid w:val="2ED85DFF"/>
    <w:rsid w:val="2EF7784D"/>
    <w:rsid w:val="2F185D21"/>
    <w:rsid w:val="2F63028D"/>
    <w:rsid w:val="2F7716E9"/>
    <w:rsid w:val="2FB07FE7"/>
    <w:rsid w:val="300050A6"/>
    <w:rsid w:val="30415FA8"/>
    <w:rsid w:val="30741FB4"/>
    <w:rsid w:val="30AE55C4"/>
    <w:rsid w:val="30C35F0F"/>
    <w:rsid w:val="30C83AB6"/>
    <w:rsid w:val="30FD4260"/>
    <w:rsid w:val="310821E5"/>
    <w:rsid w:val="310E70CF"/>
    <w:rsid w:val="31273A38"/>
    <w:rsid w:val="31523460"/>
    <w:rsid w:val="31576CC8"/>
    <w:rsid w:val="318A60B5"/>
    <w:rsid w:val="318D26EA"/>
    <w:rsid w:val="31A75185"/>
    <w:rsid w:val="31E42322"/>
    <w:rsid w:val="31F97998"/>
    <w:rsid w:val="32093536"/>
    <w:rsid w:val="326D294D"/>
    <w:rsid w:val="32A912AB"/>
    <w:rsid w:val="32AB643B"/>
    <w:rsid w:val="32D66B44"/>
    <w:rsid w:val="32EB1476"/>
    <w:rsid w:val="32FD4C9D"/>
    <w:rsid w:val="3307064A"/>
    <w:rsid w:val="33680739"/>
    <w:rsid w:val="33896EE1"/>
    <w:rsid w:val="339D540B"/>
    <w:rsid w:val="33BA709B"/>
    <w:rsid w:val="33DF56D7"/>
    <w:rsid w:val="33F614CC"/>
    <w:rsid w:val="34046622"/>
    <w:rsid w:val="35234AC0"/>
    <w:rsid w:val="354B6EE5"/>
    <w:rsid w:val="356E638F"/>
    <w:rsid w:val="35AD5109"/>
    <w:rsid w:val="35B53E09"/>
    <w:rsid w:val="36005E25"/>
    <w:rsid w:val="360D1CB0"/>
    <w:rsid w:val="36300FF3"/>
    <w:rsid w:val="36515672"/>
    <w:rsid w:val="36707BDB"/>
    <w:rsid w:val="36771BA1"/>
    <w:rsid w:val="368734D4"/>
    <w:rsid w:val="368E76EE"/>
    <w:rsid w:val="36A27FE9"/>
    <w:rsid w:val="36AA789A"/>
    <w:rsid w:val="36AF3103"/>
    <w:rsid w:val="36BA2093"/>
    <w:rsid w:val="36C726DC"/>
    <w:rsid w:val="36F8714B"/>
    <w:rsid w:val="373C3AAF"/>
    <w:rsid w:val="3757121F"/>
    <w:rsid w:val="3768578B"/>
    <w:rsid w:val="37923526"/>
    <w:rsid w:val="379801D0"/>
    <w:rsid w:val="37A75B88"/>
    <w:rsid w:val="37B962F4"/>
    <w:rsid w:val="37C404E8"/>
    <w:rsid w:val="37E40B8A"/>
    <w:rsid w:val="380729ED"/>
    <w:rsid w:val="381E7EEB"/>
    <w:rsid w:val="381F1BC2"/>
    <w:rsid w:val="39343BEA"/>
    <w:rsid w:val="39922270"/>
    <w:rsid w:val="39954300"/>
    <w:rsid w:val="399F745E"/>
    <w:rsid w:val="39A1385A"/>
    <w:rsid w:val="39F01641"/>
    <w:rsid w:val="3A1F34C0"/>
    <w:rsid w:val="3A537A35"/>
    <w:rsid w:val="3A5E4C24"/>
    <w:rsid w:val="3A8A06D2"/>
    <w:rsid w:val="3AE40EFC"/>
    <w:rsid w:val="3AFE3AA8"/>
    <w:rsid w:val="3B58781C"/>
    <w:rsid w:val="3B603FB5"/>
    <w:rsid w:val="3B9C1EA7"/>
    <w:rsid w:val="3C074F53"/>
    <w:rsid w:val="3C1063F2"/>
    <w:rsid w:val="3C1A7543"/>
    <w:rsid w:val="3C3F1C5A"/>
    <w:rsid w:val="3C434DC6"/>
    <w:rsid w:val="3C5250C0"/>
    <w:rsid w:val="3C605616"/>
    <w:rsid w:val="3D307460"/>
    <w:rsid w:val="3D336A22"/>
    <w:rsid w:val="3D815A91"/>
    <w:rsid w:val="3D935590"/>
    <w:rsid w:val="3DDE0AF1"/>
    <w:rsid w:val="3E0B0C1F"/>
    <w:rsid w:val="3E216C45"/>
    <w:rsid w:val="3E467EA9"/>
    <w:rsid w:val="3E8F4637"/>
    <w:rsid w:val="3E902962"/>
    <w:rsid w:val="3E9E3989"/>
    <w:rsid w:val="3EB4066C"/>
    <w:rsid w:val="3ED92392"/>
    <w:rsid w:val="3EDF1821"/>
    <w:rsid w:val="3F051FBF"/>
    <w:rsid w:val="3F4643A3"/>
    <w:rsid w:val="3F4B08A0"/>
    <w:rsid w:val="3F7C3208"/>
    <w:rsid w:val="3FAB3EFB"/>
    <w:rsid w:val="3FFD02C3"/>
    <w:rsid w:val="40590438"/>
    <w:rsid w:val="4071000B"/>
    <w:rsid w:val="408E2A02"/>
    <w:rsid w:val="40F34CBE"/>
    <w:rsid w:val="411246CC"/>
    <w:rsid w:val="411B580C"/>
    <w:rsid w:val="41720FB5"/>
    <w:rsid w:val="41B66084"/>
    <w:rsid w:val="41E07D3E"/>
    <w:rsid w:val="41EA3241"/>
    <w:rsid w:val="42876CE2"/>
    <w:rsid w:val="428E4701"/>
    <w:rsid w:val="42D36040"/>
    <w:rsid w:val="42F869F2"/>
    <w:rsid w:val="43644E69"/>
    <w:rsid w:val="43AD6589"/>
    <w:rsid w:val="44562E10"/>
    <w:rsid w:val="44B518E4"/>
    <w:rsid w:val="44B813D4"/>
    <w:rsid w:val="44F70EBD"/>
    <w:rsid w:val="44FB0A19"/>
    <w:rsid w:val="45042FAA"/>
    <w:rsid w:val="4507013A"/>
    <w:rsid w:val="455C1937"/>
    <w:rsid w:val="455C4456"/>
    <w:rsid w:val="458F7E0C"/>
    <w:rsid w:val="46047F8E"/>
    <w:rsid w:val="461A28EF"/>
    <w:rsid w:val="464A2500"/>
    <w:rsid w:val="466A72CE"/>
    <w:rsid w:val="46975DF4"/>
    <w:rsid w:val="472B0583"/>
    <w:rsid w:val="4766461F"/>
    <w:rsid w:val="477766D9"/>
    <w:rsid w:val="477C40B7"/>
    <w:rsid w:val="48194A85"/>
    <w:rsid w:val="48495DFF"/>
    <w:rsid w:val="48575D8F"/>
    <w:rsid w:val="489067C8"/>
    <w:rsid w:val="489565B3"/>
    <w:rsid w:val="48A13DC8"/>
    <w:rsid w:val="48AD4E73"/>
    <w:rsid w:val="48B337FF"/>
    <w:rsid w:val="48B70D11"/>
    <w:rsid w:val="48D733E1"/>
    <w:rsid w:val="48EB7FCA"/>
    <w:rsid w:val="49086CBA"/>
    <w:rsid w:val="49316F70"/>
    <w:rsid w:val="493368FD"/>
    <w:rsid w:val="49347C3B"/>
    <w:rsid w:val="49B02E7D"/>
    <w:rsid w:val="49B31F01"/>
    <w:rsid w:val="49BB4089"/>
    <w:rsid w:val="49C97DEE"/>
    <w:rsid w:val="49D97A88"/>
    <w:rsid w:val="49DB109C"/>
    <w:rsid w:val="49E52C6C"/>
    <w:rsid w:val="4A151A0E"/>
    <w:rsid w:val="4A1A2C2A"/>
    <w:rsid w:val="4A2420E4"/>
    <w:rsid w:val="4A2512BA"/>
    <w:rsid w:val="4A352F2C"/>
    <w:rsid w:val="4A3E412A"/>
    <w:rsid w:val="4A433A00"/>
    <w:rsid w:val="4A886551"/>
    <w:rsid w:val="4A914D76"/>
    <w:rsid w:val="4AAD1308"/>
    <w:rsid w:val="4AD82C70"/>
    <w:rsid w:val="4B050440"/>
    <w:rsid w:val="4B6D0130"/>
    <w:rsid w:val="4B926BE7"/>
    <w:rsid w:val="4BBE0A90"/>
    <w:rsid w:val="4BDD7BA7"/>
    <w:rsid w:val="4CBC7AF3"/>
    <w:rsid w:val="4D027691"/>
    <w:rsid w:val="4D4F0070"/>
    <w:rsid w:val="4D8D33B6"/>
    <w:rsid w:val="4DC64B62"/>
    <w:rsid w:val="4DE312D8"/>
    <w:rsid w:val="4DF94F37"/>
    <w:rsid w:val="4E3E6DEE"/>
    <w:rsid w:val="4EA57EB3"/>
    <w:rsid w:val="4F1801C5"/>
    <w:rsid w:val="4F1815D8"/>
    <w:rsid w:val="4F312689"/>
    <w:rsid w:val="4F881DD2"/>
    <w:rsid w:val="4FA17635"/>
    <w:rsid w:val="500109DB"/>
    <w:rsid w:val="500656EA"/>
    <w:rsid w:val="503F15BF"/>
    <w:rsid w:val="50855379"/>
    <w:rsid w:val="50F25C6E"/>
    <w:rsid w:val="516701F0"/>
    <w:rsid w:val="516E5741"/>
    <w:rsid w:val="51994ECA"/>
    <w:rsid w:val="52154F6C"/>
    <w:rsid w:val="52CB2081"/>
    <w:rsid w:val="52E01E33"/>
    <w:rsid w:val="52EA504C"/>
    <w:rsid w:val="52EF06B7"/>
    <w:rsid w:val="53091D0F"/>
    <w:rsid w:val="5373420A"/>
    <w:rsid w:val="53B31FFA"/>
    <w:rsid w:val="542B0171"/>
    <w:rsid w:val="54E44EA5"/>
    <w:rsid w:val="54F2041B"/>
    <w:rsid w:val="55320F1C"/>
    <w:rsid w:val="553E501B"/>
    <w:rsid w:val="554C53C5"/>
    <w:rsid w:val="559F537E"/>
    <w:rsid w:val="55E5390A"/>
    <w:rsid w:val="55F10BEA"/>
    <w:rsid w:val="560D34CE"/>
    <w:rsid w:val="564E3947"/>
    <w:rsid w:val="567632A2"/>
    <w:rsid w:val="568E6439"/>
    <w:rsid w:val="56AB69D0"/>
    <w:rsid w:val="56D737F9"/>
    <w:rsid w:val="56E218A8"/>
    <w:rsid w:val="570E17B8"/>
    <w:rsid w:val="57131414"/>
    <w:rsid w:val="571F09D2"/>
    <w:rsid w:val="572B1EDA"/>
    <w:rsid w:val="57932A23"/>
    <w:rsid w:val="57DE3BDF"/>
    <w:rsid w:val="581770D7"/>
    <w:rsid w:val="58374347"/>
    <w:rsid w:val="58457CD0"/>
    <w:rsid w:val="585711A2"/>
    <w:rsid w:val="58C92183"/>
    <w:rsid w:val="59277154"/>
    <w:rsid w:val="593A20E1"/>
    <w:rsid w:val="59480B21"/>
    <w:rsid w:val="59771406"/>
    <w:rsid w:val="59B212B6"/>
    <w:rsid w:val="59E446EB"/>
    <w:rsid w:val="5A0370DE"/>
    <w:rsid w:val="5A0606CA"/>
    <w:rsid w:val="5A0614BF"/>
    <w:rsid w:val="5A3B14EF"/>
    <w:rsid w:val="5AB242ED"/>
    <w:rsid w:val="5AC74DF8"/>
    <w:rsid w:val="5ADF17A9"/>
    <w:rsid w:val="5B2630E4"/>
    <w:rsid w:val="5B751975"/>
    <w:rsid w:val="5B772776"/>
    <w:rsid w:val="5BAD7C06"/>
    <w:rsid w:val="5BB81099"/>
    <w:rsid w:val="5C280A4D"/>
    <w:rsid w:val="5D040FCE"/>
    <w:rsid w:val="5D236E89"/>
    <w:rsid w:val="5D4D5F01"/>
    <w:rsid w:val="5D6515BE"/>
    <w:rsid w:val="5D7B5F87"/>
    <w:rsid w:val="5D870C6B"/>
    <w:rsid w:val="5D90511C"/>
    <w:rsid w:val="5E053ECD"/>
    <w:rsid w:val="5E240CCF"/>
    <w:rsid w:val="5E4C4C10"/>
    <w:rsid w:val="5E68756F"/>
    <w:rsid w:val="5E7F0E92"/>
    <w:rsid w:val="5E922FD2"/>
    <w:rsid w:val="5EA80A59"/>
    <w:rsid w:val="5EAA77E0"/>
    <w:rsid w:val="5EB620AD"/>
    <w:rsid w:val="5ECD7C67"/>
    <w:rsid w:val="5F120CCD"/>
    <w:rsid w:val="5F4132BE"/>
    <w:rsid w:val="5F544D41"/>
    <w:rsid w:val="5F8F37C0"/>
    <w:rsid w:val="5FF94530"/>
    <w:rsid w:val="600F2268"/>
    <w:rsid w:val="601B5081"/>
    <w:rsid w:val="60255718"/>
    <w:rsid w:val="6171137E"/>
    <w:rsid w:val="61A134C4"/>
    <w:rsid w:val="620F26F9"/>
    <w:rsid w:val="621D05DD"/>
    <w:rsid w:val="626C7A56"/>
    <w:rsid w:val="6300246C"/>
    <w:rsid w:val="630C5CCA"/>
    <w:rsid w:val="632704EF"/>
    <w:rsid w:val="6356208C"/>
    <w:rsid w:val="63570A5E"/>
    <w:rsid w:val="635E5215"/>
    <w:rsid w:val="63604CB9"/>
    <w:rsid w:val="63614B41"/>
    <w:rsid w:val="638559B0"/>
    <w:rsid w:val="63C3663B"/>
    <w:rsid w:val="644F42C7"/>
    <w:rsid w:val="64D92503"/>
    <w:rsid w:val="65193AC8"/>
    <w:rsid w:val="655C559A"/>
    <w:rsid w:val="65D26511"/>
    <w:rsid w:val="65F17A91"/>
    <w:rsid w:val="66052E26"/>
    <w:rsid w:val="660E452A"/>
    <w:rsid w:val="66172B3B"/>
    <w:rsid w:val="6646463A"/>
    <w:rsid w:val="664967D6"/>
    <w:rsid w:val="666A19E3"/>
    <w:rsid w:val="66717623"/>
    <w:rsid w:val="66890C0F"/>
    <w:rsid w:val="66A00B1A"/>
    <w:rsid w:val="66EC5ECA"/>
    <w:rsid w:val="671F493B"/>
    <w:rsid w:val="67220C03"/>
    <w:rsid w:val="67260FAF"/>
    <w:rsid w:val="67535261"/>
    <w:rsid w:val="675A5CEE"/>
    <w:rsid w:val="6771251F"/>
    <w:rsid w:val="678D0D6C"/>
    <w:rsid w:val="67912D2E"/>
    <w:rsid w:val="67CE5306"/>
    <w:rsid w:val="67E66902"/>
    <w:rsid w:val="67E9627C"/>
    <w:rsid w:val="68024F3E"/>
    <w:rsid w:val="682E474C"/>
    <w:rsid w:val="68656D1C"/>
    <w:rsid w:val="686E5813"/>
    <w:rsid w:val="68B8495E"/>
    <w:rsid w:val="68BD7FAB"/>
    <w:rsid w:val="69044CCB"/>
    <w:rsid w:val="692A321E"/>
    <w:rsid w:val="695503E5"/>
    <w:rsid w:val="695E6E70"/>
    <w:rsid w:val="696F7727"/>
    <w:rsid w:val="69761B48"/>
    <w:rsid w:val="69826F10"/>
    <w:rsid w:val="6A291D77"/>
    <w:rsid w:val="6A294057"/>
    <w:rsid w:val="6A311144"/>
    <w:rsid w:val="6A826D0C"/>
    <w:rsid w:val="6AA95198"/>
    <w:rsid w:val="6AC978EB"/>
    <w:rsid w:val="6AFE0FD5"/>
    <w:rsid w:val="6B363DC9"/>
    <w:rsid w:val="6B770B4F"/>
    <w:rsid w:val="6B7945E7"/>
    <w:rsid w:val="6BB35FF6"/>
    <w:rsid w:val="6C1765A4"/>
    <w:rsid w:val="6C3F19FF"/>
    <w:rsid w:val="6C3F4EF1"/>
    <w:rsid w:val="6C520153"/>
    <w:rsid w:val="6C83461C"/>
    <w:rsid w:val="6D2A1711"/>
    <w:rsid w:val="6D2C2012"/>
    <w:rsid w:val="6D465AD5"/>
    <w:rsid w:val="6D47061C"/>
    <w:rsid w:val="6D612C36"/>
    <w:rsid w:val="6D641F3F"/>
    <w:rsid w:val="6DAC7479"/>
    <w:rsid w:val="6E6733A0"/>
    <w:rsid w:val="6E753AC9"/>
    <w:rsid w:val="6EAB3C78"/>
    <w:rsid w:val="6EBE56B6"/>
    <w:rsid w:val="6ECF7E2D"/>
    <w:rsid w:val="6F764825"/>
    <w:rsid w:val="6F7E0BF8"/>
    <w:rsid w:val="6FA0300D"/>
    <w:rsid w:val="6FC42292"/>
    <w:rsid w:val="6FE5761E"/>
    <w:rsid w:val="70241CE7"/>
    <w:rsid w:val="705A492B"/>
    <w:rsid w:val="70B054D2"/>
    <w:rsid w:val="70E138DD"/>
    <w:rsid w:val="713056CE"/>
    <w:rsid w:val="71435060"/>
    <w:rsid w:val="71B42DA0"/>
    <w:rsid w:val="71B804AF"/>
    <w:rsid w:val="71B92164"/>
    <w:rsid w:val="71BD5126"/>
    <w:rsid w:val="71E04DB2"/>
    <w:rsid w:val="72315F52"/>
    <w:rsid w:val="72380C91"/>
    <w:rsid w:val="72912A35"/>
    <w:rsid w:val="72933FAE"/>
    <w:rsid w:val="72FC3A72"/>
    <w:rsid w:val="73036065"/>
    <w:rsid w:val="73194E17"/>
    <w:rsid w:val="73247AB1"/>
    <w:rsid w:val="73610D05"/>
    <w:rsid w:val="737E32EA"/>
    <w:rsid w:val="73E159A2"/>
    <w:rsid w:val="741C2FF0"/>
    <w:rsid w:val="74207BDF"/>
    <w:rsid w:val="743A788B"/>
    <w:rsid w:val="74704AA1"/>
    <w:rsid w:val="74933140"/>
    <w:rsid w:val="74FF73E9"/>
    <w:rsid w:val="75145A02"/>
    <w:rsid w:val="752A6035"/>
    <w:rsid w:val="75647827"/>
    <w:rsid w:val="757411C0"/>
    <w:rsid w:val="757D656B"/>
    <w:rsid w:val="759F5B15"/>
    <w:rsid w:val="75A3300B"/>
    <w:rsid w:val="75BE5F9B"/>
    <w:rsid w:val="75CD4430"/>
    <w:rsid w:val="76105F0C"/>
    <w:rsid w:val="76176FE0"/>
    <w:rsid w:val="762E3465"/>
    <w:rsid w:val="76685532"/>
    <w:rsid w:val="76692FDA"/>
    <w:rsid w:val="766E7E14"/>
    <w:rsid w:val="76DE7C83"/>
    <w:rsid w:val="77065E4C"/>
    <w:rsid w:val="773735B1"/>
    <w:rsid w:val="77404125"/>
    <w:rsid w:val="774723A6"/>
    <w:rsid w:val="775943C5"/>
    <w:rsid w:val="775B68EA"/>
    <w:rsid w:val="775F34D3"/>
    <w:rsid w:val="779A691A"/>
    <w:rsid w:val="779F71D5"/>
    <w:rsid w:val="77EF2BD0"/>
    <w:rsid w:val="782B00BB"/>
    <w:rsid w:val="782C7998"/>
    <w:rsid w:val="783E35D1"/>
    <w:rsid w:val="78567579"/>
    <w:rsid w:val="78793308"/>
    <w:rsid w:val="788D2A0D"/>
    <w:rsid w:val="789B0106"/>
    <w:rsid w:val="78A334D8"/>
    <w:rsid w:val="78AF121B"/>
    <w:rsid w:val="78B402A3"/>
    <w:rsid w:val="791D52BE"/>
    <w:rsid w:val="793C4C56"/>
    <w:rsid w:val="794C378F"/>
    <w:rsid w:val="795F3706"/>
    <w:rsid w:val="7975290A"/>
    <w:rsid w:val="79B53B29"/>
    <w:rsid w:val="79CF4143"/>
    <w:rsid w:val="7A1563A6"/>
    <w:rsid w:val="7A8E5211"/>
    <w:rsid w:val="7AA3348F"/>
    <w:rsid w:val="7AB14320"/>
    <w:rsid w:val="7AEA7832"/>
    <w:rsid w:val="7B086666"/>
    <w:rsid w:val="7B355345"/>
    <w:rsid w:val="7B6A606C"/>
    <w:rsid w:val="7B6C6499"/>
    <w:rsid w:val="7B825CBD"/>
    <w:rsid w:val="7C9937EB"/>
    <w:rsid w:val="7CF50DC1"/>
    <w:rsid w:val="7CFB256C"/>
    <w:rsid w:val="7D2A53A6"/>
    <w:rsid w:val="7D2F7F78"/>
    <w:rsid w:val="7D4E1AA1"/>
    <w:rsid w:val="7D666919"/>
    <w:rsid w:val="7D6774DC"/>
    <w:rsid w:val="7DA63EE4"/>
    <w:rsid w:val="7DF10ED8"/>
    <w:rsid w:val="7DF94E6A"/>
    <w:rsid w:val="7DFF5F32"/>
    <w:rsid w:val="7E1F5511"/>
    <w:rsid w:val="7E2122B0"/>
    <w:rsid w:val="7E507FA2"/>
    <w:rsid w:val="7E667BD9"/>
    <w:rsid w:val="7E694F12"/>
    <w:rsid w:val="7EBB7543"/>
    <w:rsid w:val="7EC564AB"/>
    <w:rsid w:val="7ECB430D"/>
    <w:rsid w:val="7F0B3ECA"/>
    <w:rsid w:val="7F330CBF"/>
    <w:rsid w:val="7F4D29CA"/>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numPr>
        <w:ilvl w:val="0"/>
        <w:numId w:val="2"/>
      </w:numPr>
    </w:pPr>
  </w:style>
  <w:style w:type="paragraph" w:styleId="6">
    <w:name w:val="caption"/>
    <w:basedOn w:val="1"/>
    <w:next w:val="1"/>
    <w:autoRedefine/>
    <w:qFormat/>
    <w:uiPriority w:val="0"/>
    <w:rPr>
      <w:rFonts w:ascii="Arial" w:hAnsi="Arial" w:eastAsia="黑体" w:cs="Arial"/>
      <w:sz w:val="20"/>
    </w:rPr>
  </w:style>
  <w:style w:type="paragraph" w:styleId="7">
    <w:name w:val="annotation text"/>
    <w:basedOn w:val="1"/>
    <w:link w:val="56"/>
    <w:autoRedefine/>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autoRedefine/>
    <w:unhideWhenUsed/>
    <w:qFormat/>
    <w:uiPriority w:val="99"/>
    <w:pPr>
      <w:spacing w:after="120"/>
    </w:pPr>
  </w:style>
  <w:style w:type="paragraph" w:customStyle="1" w:styleId="9">
    <w:name w:val="style4"/>
    <w:basedOn w:val="1"/>
    <w:next w:val="10"/>
    <w:autoRedefine/>
    <w:qFormat/>
    <w:uiPriority w:val="0"/>
    <w:pPr>
      <w:widowControl/>
      <w:spacing w:before="280" w:after="280"/>
    </w:pPr>
    <w:rPr>
      <w:rFonts w:ascii="宋体"/>
      <w:sz w:val="18"/>
    </w:rPr>
  </w:style>
  <w:style w:type="paragraph" w:customStyle="1" w:styleId="1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autoRedefine/>
    <w:qFormat/>
    <w:uiPriority w:val="0"/>
    <w:pPr>
      <w:adjustRightInd w:val="0"/>
      <w:spacing w:after="120" w:line="360" w:lineRule="atLeast"/>
      <w:ind w:left="420" w:leftChars="200"/>
      <w:jc w:val="left"/>
      <w:textAlignment w:val="baseline"/>
    </w:pPr>
    <w:rPr>
      <w:sz w:val="24"/>
    </w:rPr>
  </w:style>
  <w:style w:type="paragraph" w:styleId="12">
    <w:name w:val="envelope return"/>
    <w:basedOn w:val="1"/>
    <w:autoRedefine/>
    <w:unhideWhenUsed/>
    <w:qFormat/>
    <w:uiPriority w:val="99"/>
    <w:pPr>
      <w:snapToGrid w:val="0"/>
    </w:pPr>
    <w:rPr>
      <w:rFonts w:ascii="Arial" w:hAnsi="Arial"/>
    </w:rPr>
  </w:style>
  <w:style w:type="paragraph" w:styleId="13">
    <w:name w:val="Block Text"/>
    <w:basedOn w:val="1"/>
    <w:autoRedefine/>
    <w:unhideWhenUsed/>
    <w:qFormat/>
    <w:uiPriority w:val="99"/>
    <w:pPr>
      <w:adjustRightInd w:val="0"/>
      <w:spacing w:line="300" w:lineRule="auto"/>
      <w:ind w:left="958" w:right="-120" w:rightChars="-120"/>
    </w:pPr>
    <w:rPr>
      <w:rFonts w:hint="eastAsia"/>
      <w:sz w:val="28"/>
    </w:rPr>
  </w:style>
  <w:style w:type="paragraph" w:styleId="14">
    <w:name w:val="Plain Text"/>
    <w:basedOn w:val="1"/>
    <w:autoRedefine/>
    <w:qFormat/>
    <w:uiPriority w:val="0"/>
    <w:rPr>
      <w:sz w:val="24"/>
    </w:rPr>
  </w:style>
  <w:style w:type="paragraph" w:styleId="15">
    <w:name w:val="Date"/>
    <w:basedOn w:val="1"/>
    <w:next w:val="1"/>
    <w:autoRedefine/>
    <w:unhideWhenUsed/>
    <w:qFormat/>
    <w:uiPriority w:val="99"/>
    <w:pPr>
      <w:ind w:left="100" w:leftChars="2500"/>
    </w:pPr>
  </w:style>
  <w:style w:type="paragraph" w:styleId="16">
    <w:name w:val="Balloon Text"/>
    <w:basedOn w:val="1"/>
    <w:link w:val="57"/>
    <w:autoRedefine/>
    <w:qFormat/>
    <w:uiPriority w:val="0"/>
    <w:rPr>
      <w:rFonts w:ascii="宋体"/>
      <w:sz w:val="18"/>
      <w:szCs w:val="18"/>
    </w:rPr>
  </w:style>
  <w:style w:type="paragraph" w:styleId="17">
    <w:name w:val="footer"/>
    <w:basedOn w:val="1"/>
    <w:link w:val="40"/>
    <w:autoRedefine/>
    <w:qFormat/>
    <w:uiPriority w:val="99"/>
    <w:pPr>
      <w:tabs>
        <w:tab w:val="center" w:pos="4153"/>
        <w:tab w:val="right" w:pos="8306"/>
      </w:tabs>
      <w:snapToGrid w:val="0"/>
      <w:jc w:val="left"/>
    </w:pPr>
    <w:rPr>
      <w:sz w:val="18"/>
      <w:szCs w:val="18"/>
    </w:rPr>
  </w:style>
  <w:style w:type="paragraph" w:styleId="18">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20">
    <w:name w:val="List"/>
    <w:basedOn w:val="1"/>
    <w:autoRedefine/>
    <w:qFormat/>
    <w:uiPriority w:val="0"/>
    <w:pPr>
      <w:ind w:left="420" w:hanging="420"/>
    </w:pPr>
    <w:rPr>
      <w:szCs w:val="20"/>
    </w:rPr>
  </w:style>
  <w:style w:type="paragraph" w:styleId="21">
    <w:name w:val="footnote text"/>
    <w:basedOn w:val="1"/>
    <w:autoRedefine/>
    <w:semiHidden/>
    <w:qFormat/>
    <w:uiPriority w:val="99"/>
    <w:pPr>
      <w:snapToGrid w:val="0"/>
      <w:jc w:val="left"/>
    </w:pPr>
    <w:rPr>
      <w:sz w:val="18"/>
      <w:szCs w:val="18"/>
    </w:rPr>
  </w:style>
  <w:style w:type="paragraph" w:styleId="22">
    <w:name w:val="Body Text 2"/>
    <w:basedOn w:val="1"/>
    <w:autoRedefine/>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autoRedefine/>
    <w:qFormat/>
    <w:uiPriority w:val="99"/>
    <w:rPr>
      <w:rFonts w:ascii="Calibri" w:hAnsi="Calibri"/>
      <w:sz w:val="24"/>
      <w:szCs w:val="24"/>
    </w:rPr>
  </w:style>
  <w:style w:type="paragraph" w:styleId="25">
    <w:name w:val="Title"/>
    <w:basedOn w:val="1"/>
    <w:next w:val="1"/>
    <w:link w:val="63"/>
    <w:autoRedefine/>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autoRedefine/>
    <w:qFormat/>
    <w:uiPriority w:val="0"/>
    <w:pPr>
      <w:ind w:firstLine="420" w:firstLineChars="100"/>
    </w:pPr>
    <w:rPr>
      <w:rFonts w:ascii="宋体"/>
      <w:kern w:val="0"/>
      <w:sz w:val="34"/>
    </w:rPr>
  </w:style>
  <w:style w:type="paragraph" w:styleId="27">
    <w:name w:val="Body Text First Indent 2"/>
    <w:basedOn w:val="11"/>
    <w:next w:val="20"/>
    <w:autoRedefine/>
    <w:unhideWhenUsed/>
    <w:qFormat/>
    <w:uiPriority w:val="99"/>
    <w:pPr>
      <w:ind w:firstLine="420" w:firstLineChars="200"/>
    </w:p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0"/>
  </w:style>
  <w:style w:type="character" w:styleId="32">
    <w:name w:val="FollowedHyperlink"/>
    <w:basedOn w:val="30"/>
    <w:autoRedefine/>
    <w:qFormat/>
    <w:uiPriority w:val="0"/>
    <w:rPr>
      <w:color w:val="000000"/>
      <w:u w:val="none"/>
    </w:rPr>
  </w:style>
  <w:style w:type="character" w:styleId="33">
    <w:name w:val="Emphasis"/>
    <w:basedOn w:val="30"/>
    <w:autoRedefine/>
    <w:qFormat/>
    <w:uiPriority w:val="0"/>
  </w:style>
  <w:style w:type="character" w:styleId="34">
    <w:name w:val="Hyperlink"/>
    <w:basedOn w:val="30"/>
    <w:autoRedefine/>
    <w:qFormat/>
    <w:uiPriority w:val="0"/>
    <w:rPr>
      <w:color w:val="000000"/>
      <w:u w:val="none"/>
    </w:rPr>
  </w:style>
  <w:style w:type="character" w:styleId="35">
    <w:name w:val="annotation reference"/>
    <w:basedOn w:val="30"/>
    <w:autoRedefine/>
    <w:unhideWhenUsed/>
    <w:qFormat/>
    <w:uiPriority w:val="99"/>
    <w:rPr>
      <w:sz w:val="21"/>
      <w:szCs w:val="21"/>
    </w:rPr>
  </w:style>
  <w:style w:type="character" w:customStyle="1" w:styleId="36">
    <w:name w:val="标题 1 Char"/>
    <w:basedOn w:val="30"/>
    <w:link w:val="2"/>
    <w:autoRedefine/>
    <w:qFormat/>
    <w:uiPriority w:val="9"/>
    <w:rPr>
      <w:rFonts w:ascii="宋体" w:hAnsi="宋体" w:cs="宋体"/>
      <w:b/>
      <w:bCs/>
      <w:kern w:val="36"/>
      <w:sz w:val="48"/>
      <w:szCs w:val="48"/>
    </w:rPr>
  </w:style>
  <w:style w:type="paragraph" w:customStyle="1" w:styleId="37">
    <w:name w:val="表格文字"/>
    <w:basedOn w:val="1"/>
    <w:next w:val="8"/>
    <w:autoRedefine/>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autoRedefine/>
    <w:qFormat/>
    <w:uiPriority w:val="0"/>
    <w:rPr>
      <w:kern w:val="2"/>
      <w:sz w:val="18"/>
      <w:szCs w:val="18"/>
    </w:rPr>
  </w:style>
  <w:style w:type="character" w:customStyle="1" w:styleId="40">
    <w:name w:val="页脚 Char"/>
    <w:basedOn w:val="30"/>
    <w:link w:val="17"/>
    <w:autoRedefine/>
    <w:qFormat/>
    <w:uiPriority w:val="0"/>
    <w:rPr>
      <w:kern w:val="2"/>
      <w:sz w:val="18"/>
      <w:szCs w:val="18"/>
    </w:rPr>
  </w:style>
  <w:style w:type="character" w:customStyle="1" w:styleId="41">
    <w:name w:val="red"/>
    <w:basedOn w:val="30"/>
    <w:autoRedefine/>
    <w:qFormat/>
    <w:uiPriority w:val="0"/>
    <w:rPr>
      <w:color w:val="CC0000"/>
    </w:rPr>
  </w:style>
  <w:style w:type="character" w:customStyle="1" w:styleId="42">
    <w:name w:val="red1"/>
    <w:basedOn w:val="30"/>
    <w:autoRedefine/>
    <w:qFormat/>
    <w:uiPriority w:val="0"/>
    <w:rPr>
      <w:color w:val="FF0000"/>
      <w:sz w:val="18"/>
      <w:szCs w:val="18"/>
    </w:rPr>
  </w:style>
  <w:style w:type="character" w:customStyle="1" w:styleId="43">
    <w:name w:val="red2"/>
    <w:basedOn w:val="30"/>
    <w:autoRedefine/>
    <w:qFormat/>
    <w:uiPriority w:val="0"/>
    <w:rPr>
      <w:color w:val="FF0000"/>
      <w:sz w:val="18"/>
      <w:szCs w:val="18"/>
    </w:rPr>
  </w:style>
  <w:style w:type="character" w:customStyle="1" w:styleId="44">
    <w:name w:val="red3"/>
    <w:basedOn w:val="30"/>
    <w:autoRedefine/>
    <w:qFormat/>
    <w:uiPriority w:val="0"/>
    <w:rPr>
      <w:color w:val="FF0000"/>
    </w:rPr>
  </w:style>
  <w:style w:type="character" w:customStyle="1" w:styleId="45">
    <w:name w:val="green"/>
    <w:basedOn w:val="30"/>
    <w:autoRedefine/>
    <w:qFormat/>
    <w:uiPriority w:val="0"/>
    <w:rPr>
      <w:color w:val="66AE00"/>
      <w:sz w:val="18"/>
      <w:szCs w:val="18"/>
    </w:rPr>
  </w:style>
  <w:style w:type="character" w:customStyle="1" w:styleId="46">
    <w:name w:val="green1"/>
    <w:basedOn w:val="30"/>
    <w:autoRedefine/>
    <w:qFormat/>
    <w:uiPriority w:val="0"/>
    <w:rPr>
      <w:color w:val="66AE00"/>
      <w:sz w:val="18"/>
      <w:szCs w:val="18"/>
    </w:rPr>
  </w:style>
  <w:style w:type="character" w:customStyle="1" w:styleId="47">
    <w:name w:val="hover25"/>
    <w:basedOn w:val="30"/>
    <w:autoRedefine/>
    <w:qFormat/>
    <w:uiPriority w:val="0"/>
  </w:style>
  <w:style w:type="character" w:customStyle="1" w:styleId="48">
    <w:name w:val="blue"/>
    <w:basedOn w:val="30"/>
    <w:autoRedefine/>
    <w:qFormat/>
    <w:uiPriority w:val="0"/>
    <w:rPr>
      <w:color w:val="0371C6"/>
      <w:sz w:val="21"/>
      <w:szCs w:val="21"/>
    </w:rPr>
  </w:style>
  <w:style w:type="character" w:customStyle="1" w:styleId="49">
    <w:name w:val="gb-jt"/>
    <w:basedOn w:val="30"/>
    <w:autoRedefine/>
    <w:qFormat/>
    <w:uiPriority w:val="0"/>
  </w:style>
  <w:style w:type="character" w:customStyle="1" w:styleId="50">
    <w:name w:val="right"/>
    <w:basedOn w:val="30"/>
    <w:autoRedefine/>
    <w:qFormat/>
    <w:uiPriority w:val="0"/>
    <w:rPr>
      <w:color w:val="999999"/>
      <w:sz w:val="18"/>
      <w:szCs w:val="18"/>
    </w:rPr>
  </w:style>
  <w:style w:type="paragraph" w:customStyle="1" w:styleId="51">
    <w:name w:val="列出段落1"/>
    <w:basedOn w:val="1"/>
    <w:autoRedefine/>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autoRedefine/>
    <w:qFormat/>
    <w:uiPriority w:val="0"/>
    <w:pPr>
      <w:spacing w:line="360" w:lineRule="auto"/>
      <w:ind w:firstLine="480" w:firstLineChars="200"/>
    </w:pPr>
    <w:rPr>
      <w:rFonts w:ascii="宋体"/>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autoRedefine/>
    <w:qFormat/>
    <w:uiPriority w:val="0"/>
    <w:rPr>
      <w:sz w:val="24"/>
    </w:rPr>
  </w:style>
  <w:style w:type="character" w:customStyle="1" w:styleId="56">
    <w:name w:val="批注文字 Char"/>
    <w:basedOn w:val="30"/>
    <w:link w:val="7"/>
    <w:autoRedefine/>
    <w:qFormat/>
    <w:uiPriority w:val="99"/>
    <w:rPr>
      <w:rFonts w:ascii="仿宋_GB2312" w:eastAsia="仿宋_GB2312" w:cs="仿宋_GB2312" w:hAnsiTheme="minorHAnsi"/>
      <w:sz w:val="28"/>
      <w:szCs w:val="28"/>
    </w:rPr>
  </w:style>
  <w:style w:type="character" w:customStyle="1" w:styleId="57">
    <w:name w:val="批注框文本 Char"/>
    <w:basedOn w:val="30"/>
    <w:link w:val="16"/>
    <w:autoRedefine/>
    <w:qFormat/>
    <w:uiPriority w:val="0"/>
    <w:rPr>
      <w:rFonts w:ascii="宋体" w:hAnsi="Times New Roman"/>
      <w:kern w:val="2"/>
      <w:sz w:val="18"/>
      <w:szCs w:val="18"/>
    </w:rPr>
  </w:style>
  <w:style w:type="character" w:customStyle="1" w:styleId="58">
    <w:name w:val="Unresolved Mention"/>
    <w:basedOn w:val="30"/>
    <w:autoRedefine/>
    <w:unhideWhenUsed/>
    <w:qFormat/>
    <w:uiPriority w:val="99"/>
    <w:rPr>
      <w:color w:val="605E5C"/>
      <w:shd w:val="clear" w:color="auto" w:fill="E1DFDD"/>
    </w:rPr>
  </w:style>
  <w:style w:type="character" w:customStyle="1" w:styleId="59">
    <w:name w:val="页脚 字符1"/>
    <w:autoRedefine/>
    <w:qFormat/>
    <w:uiPriority w:val="99"/>
    <w:rPr>
      <w:kern w:val="2"/>
      <w:sz w:val="18"/>
    </w:rPr>
  </w:style>
  <w:style w:type="character" w:customStyle="1" w:styleId="60">
    <w:name w:val="页眉 字符"/>
    <w:autoRedefine/>
    <w:qFormat/>
    <w:uiPriority w:val="99"/>
    <w:rPr>
      <w:kern w:val="2"/>
      <w:sz w:val="18"/>
    </w:rPr>
  </w:style>
  <w:style w:type="character" w:customStyle="1" w:styleId="61">
    <w:name w:val="标题 Char1"/>
    <w:link w:val="25"/>
    <w:autoRedefine/>
    <w:qFormat/>
    <w:uiPriority w:val="0"/>
    <w:rPr>
      <w:rFonts w:ascii="Cambria" w:hAnsi="Cambria"/>
      <w:b/>
      <w:bCs/>
      <w:kern w:val="2"/>
      <w:sz w:val="32"/>
      <w:szCs w:val="32"/>
    </w:rPr>
  </w:style>
  <w:style w:type="paragraph" w:customStyle="1" w:styleId="62">
    <w:name w:val="_Style 47"/>
    <w:basedOn w:val="1"/>
    <w:next w:val="1"/>
    <w:autoRedefine/>
    <w:qFormat/>
    <w:uiPriority w:val="39"/>
    <w:pPr>
      <w:widowControl w:val="0"/>
      <w:tabs>
        <w:tab w:val="left" w:pos="840"/>
        <w:tab w:val="right" w:leader="dot" w:pos="8296"/>
      </w:tabs>
    </w:pPr>
  </w:style>
  <w:style w:type="character" w:customStyle="1" w:styleId="63">
    <w:name w:val="标题 Char"/>
    <w:basedOn w:val="30"/>
    <w:link w:val="25"/>
    <w:autoRedefine/>
    <w:qFormat/>
    <w:uiPriority w:val="0"/>
    <w:rPr>
      <w:rFonts w:asciiTheme="majorHAnsi" w:hAnsiTheme="majorHAnsi" w:cstheme="majorBidi"/>
      <w:b/>
      <w:bCs/>
      <w:kern w:val="2"/>
      <w:sz w:val="32"/>
      <w:szCs w:val="32"/>
    </w:rPr>
  </w:style>
  <w:style w:type="paragraph" w:customStyle="1" w:styleId="64">
    <w:name w:val="È±Ê¡ÎÄ±¾"/>
    <w:basedOn w:val="1"/>
    <w:autoRedefine/>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autoRedefine/>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autoRedefine/>
    <w:qFormat/>
    <w:uiPriority w:val="72"/>
    <w:pPr>
      <w:widowControl w:val="0"/>
      <w:ind w:left="720"/>
      <w:contextualSpacing/>
    </w:pPr>
    <w:rPr>
      <w:szCs w:val="24"/>
    </w:rPr>
  </w:style>
  <w:style w:type="paragraph" w:customStyle="1" w:styleId="67">
    <w:name w:val="UserStyle_33"/>
    <w:basedOn w:val="1"/>
    <w:autoRedefine/>
    <w:qFormat/>
    <w:uiPriority w:val="0"/>
    <w:pPr>
      <w:textAlignment w:val="baseline"/>
    </w:pPr>
    <w:rPr>
      <w:sz w:val="24"/>
      <w:szCs w:val="24"/>
    </w:rPr>
  </w:style>
  <w:style w:type="paragraph" w:customStyle="1" w:styleId="68">
    <w:name w:val="！正文"/>
    <w:basedOn w:val="1"/>
    <w:autoRedefine/>
    <w:qFormat/>
    <w:uiPriority w:val="0"/>
    <w:pPr>
      <w:spacing w:line="360" w:lineRule="auto"/>
    </w:pPr>
    <w:rPr>
      <w:kern w:val="0"/>
    </w:rPr>
  </w:style>
  <w:style w:type="paragraph" w:customStyle="1" w:styleId="69">
    <w:name w:val="正文内容"/>
    <w:basedOn w:val="1"/>
    <w:autoRedefine/>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autoRedefine/>
    <w:qFormat/>
    <w:uiPriority w:val="99"/>
    <w:pPr>
      <w:ind w:firstLine="420" w:firstLineChars="200"/>
    </w:pPr>
  </w:style>
  <w:style w:type="paragraph" w:customStyle="1" w:styleId="71">
    <w:name w:val="样式 首行缩进:  0.74 厘米"/>
    <w:basedOn w:val="1"/>
    <w:autoRedefine/>
    <w:qFormat/>
    <w:uiPriority w:val="0"/>
    <w:pPr>
      <w:ind w:firstLine="420"/>
    </w:pPr>
    <w:rPr>
      <w:rFonts w:ascii="Arial" w:hAnsi="Arial" w:eastAsia="仿宋_GB2312" w:cs="Arial"/>
      <w:bCs/>
      <w:sz w:val="28"/>
      <w:szCs w:val="28"/>
    </w:rPr>
  </w:style>
  <w:style w:type="character" w:customStyle="1" w:styleId="72">
    <w:name w:val="NormalCharacter"/>
    <w:basedOn w:val="30"/>
    <w:autoRedefine/>
    <w:qFormat/>
    <w:uiPriority w:val="0"/>
  </w:style>
  <w:style w:type="paragraph" w:customStyle="1" w:styleId="73">
    <w:name w:val="Table Paragraph"/>
    <w:basedOn w:val="1"/>
    <w:autoRedefine/>
    <w:unhideWhenUsed/>
    <w:qFormat/>
    <w:uiPriority w:val="1"/>
    <w:rPr>
      <w:rFonts w:hint="eastAsia" w:hAnsi="宋体"/>
      <w:lang w:val="zh-CN"/>
    </w:rPr>
  </w:style>
  <w:style w:type="paragraph" w:customStyle="1" w:styleId="74">
    <w:name w:val="cjk"/>
    <w:autoRedefine/>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19</Pages>
  <Words>3889</Words>
  <Characters>3996</Characters>
  <Lines>30</Lines>
  <Paragraphs>63</Paragraphs>
  <TotalTime>76</TotalTime>
  <ScaleCrop>false</ScaleCrop>
  <LinksUpToDate>false</LinksUpToDate>
  <CharactersWithSpaces>4213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萌萌噠</cp:lastModifiedBy>
  <cp:lastPrinted>2024-07-01T00:37:00Z</cp:lastPrinted>
  <dcterms:modified xsi:type="dcterms:W3CDTF">2024-07-01T03:09:22Z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2E7B700691794C81A7113DCBA5834A6F_13</vt:lpwstr>
  </property>
</Properties>
</file>