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许禹供热长输管线项目中继泵站土地及沿线附属物赔偿具体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eastAsia="zh-CN"/>
        </w:rPr>
        <w:t>评估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en-US" w:eastAsia="zh-CN"/>
        </w:rPr>
        <w:t>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禹州市褚河街道办事处-中继泵站。位于禹州市褚河街道办事处S237以南、禹亳铁路以北地块，涉及被征收的23户搬迁户的地上附属物，其中：（1）涉及的被征收人23户；（2）涉及的地上附属物主要有砖混房、简易房、楼梯、院内棚等。（3）评估内容为23户搬迁户的安置房补偿款及拆迁服务费。评估公司需实地查看现场，对赔偿金额进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魏都区范围内临时占用苗木。位于天宝路与西外环交叉口颍汝干渠两侧。涉及地上附属物苗木（栾树、草皮、麦冬、蔷薇等约1100㎡）。评估公司需实地查看现场，结合已清点清单及影像资料等进行分析，对应赔付价值进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通信管网附属物。位于禹州市禹王大道。涉及通信管道约1000米（敷设方式为顶管，地埋PE管16根，长度约17000米）、检查井8座。评估公司需实地查看现场，结合已清点清单、图纸及影像资料等进行分析，对应赔付价值进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禹州段交通信号灯设施。位于许禹供热长输管线项目路由沿途十字路口。涉及交通信号灯、摄像头及标牌等10处。评估公司需实地查看现场，结合已清点清单、图纸及影像资料等进行分析，对应赔付价值进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天宝路西外环电子信号灯和电子警察。涉及信号灯、电子警察的电缆、电源线、光纤等约1000米，2座信号灯手井等。评估公司需实地查看现场，结合已清点清单、图纸及影像资料等进行分析，对应赔付价值进行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附件2：</w:t>
      </w:r>
    </w:p>
    <w:p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7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许禹供热长输管线项目中继泵站土地及沿线附属物赔偿评估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4"/>
        <w:pageBreakBefore w:val="0"/>
        <w:tabs>
          <w:tab w:val="left" w:pos="427"/>
        </w:tabs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</w:p>
    <w:p>
      <w:pPr>
        <w:pStyle w:val="4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7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 w:eastAsia="zh-CN"/>
              </w:rPr>
              <w:t>分</w:t>
            </w:r>
          </w:p>
          <w:p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20分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1.收费超过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为无效报价；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评标基准价：满足招标文件要求的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效投标报价中，最低的投标报价为评标基准价。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每提供一项企业2021年1月1日以来签订的评估服务合同得5分，本项最高得20分。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服务方案（20分）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（20分）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提供服务方案一般的的1-7分；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Chars="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提供服务方案良好的得8-14分；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Chars="0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提供服务方案优秀的得15-20分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项目人员（20分）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项目人员（20分）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1.项目负责人具有中级（含）职称的得5分；项目负责人具有高级职称的得10分；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2.项目组人员中除项目负责人外，其他人员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具有中级（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以上职称得5分，本项最高得10分；</w:t>
            </w:r>
          </w:p>
          <w:p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（需提供投标人员劳动合同及证书等证明材料）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如最高得分为两家或两家以上时，由询比人组成的磋商小组进行磋商确定。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20" w:lineRule="exact"/>
        <w:ind w:leftChars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759622A"/>
    <w:rsid w:val="08150446"/>
    <w:rsid w:val="1289406A"/>
    <w:rsid w:val="164953A2"/>
    <w:rsid w:val="22682FB8"/>
    <w:rsid w:val="2389558B"/>
    <w:rsid w:val="253B5191"/>
    <w:rsid w:val="28A1559D"/>
    <w:rsid w:val="29DB59C2"/>
    <w:rsid w:val="2C01620C"/>
    <w:rsid w:val="2CDE24A4"/>
    <w:rsid w:val="2CFD2151"/>
    <w:rsid w:val="3AE47B4E"/>
    <w:rsid w:val="64B82739"/>
    <w:rsid w:val="6A7A2B04"/>
    <w:rsid w:val="6C2E449C"/>
    <w:rsid w:val="700C1760"/>
    <w:rsid w:val="74A842FB"/>
    <w:rsid w:val="75A50F0A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2553</Words>
  <Characters>2662</Characters>
  <Lines>0</Lines>
  <Paragraphs>0</Paragraphs>
  <TotalTime>11</TotalTime>
  <ScaleCrop>false</ScaleCrop>
  <LinksUpToDate>false</LinksUpToDate>
  <CharactersWithSpaces>2681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2024-05-27T02:36:00Z</cp:lastPrinted>
  <dcterms:modified xsi:type="dcterms:W3CDTF">2024-05-27T09:47:50Z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F43AABCED0864633B86CBA9969D9E455_13</vt:lpwstr>
  </property>
</Properties>
</file>