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Autospacing="0" w:afterAutospacing="0" w:line="560" w:lineRule="exact"/>
        <w:ind w:left="0" w:leftChars="0" w:right="0" w:firstLine="200"/>
        <w:jc w:val="left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586" w:firstLineChars="205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2880" w:firstLineChars="9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140" w:firstLineChars="44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 xml:space="preserve">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single"/>
        </w:rPr>
        <w:t xml:space="preserve">        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 xml:space="preserve">（项目名称）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80" w:firstLineChars="19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80" w:firstLineChars="19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投标文件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投标人名称：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u w:val="single"/>
        </w:rPr>
        <w:t xml:space="preserve">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（单位盖章）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法定代表人或负责人：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（签字或盖章）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594" w:firstLineChars="198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投标日期：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月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</w:p>
    <w:p>
      <w:pPr>
        <w:shd w:val="clear" w:color="auto" w:fill="auto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服务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报价单</w:t>
      </w:r>
    </w:p>
    <w:p>
      <w:pPr>
        <w:shd w:val="clear" w:color="auto" w:fill="auto"/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9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许昌市城投发展集团有限公司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2023年度工资总额管理情况专项审计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2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服务费报价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（服务费不高于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1.35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val="zh-CN" w:eastAsia="zh-CN"/>
              </w:rPr>
              <w:t>大写：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          </w:t>
            </w:r>
          </w:p>
          <w:p>
            <w:pPr>
              <w:widowControl/>
              <w:shd w:val="clear" w:color="auto" w:fill="auto"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val="zh-CN" w:eastAsia="zh-CN"/>
              </w:rPr>
              <w:t>小写：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16"/>
                <w:lang w:val="en-US" w:eastAsia="zh-CN" w:bidi="ar"/>
              </w:rPr>
            </w:pPr>
          </w:p>
        </w:tc>
      </w:tr>
    </w:tbl>
    <w:p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报价单位万元，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保留两位小数进行报价。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 xml:space="preserve">  </w:t>
      </w:r>
    </w:p>
    <w:p>
      <w:pPr>
        <w:ind w:firstLine="2240" w:firstLineChars="700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</w:p>
    <w:p>
      <w:pPr>
        <w:pStyle w:val="12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2240" w:firstLineChars="7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人名称</w:t>
      </w:r>
      <w:r>
        <w:rPr>
          <w:rFonts w:hint="default" w:ascii="Times New Roman" w:hAnsi="Times New Roman" w:eastAsia="仿宋_GB2312" w:cs="Times New Roman"/>
          <w:sz w:val="32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  <w:lang w:val="en-US" w:eastAsia="zh-CN"/>
        </w:rPr>
        <w:t xml:space="preserve">     （全称）   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（公章）：</w:t>
      </w:r>
    </w:p>
    <w:p>
      <w:pPr>
        <w:pStyle w:val="8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8"/>
        <w:ind w:firstLine="5120" w:firstLineChars="16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>
      <w:pPr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color w:val="0F1116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  <w:r>
        <w:rPr>
          <w:rFonts w:hint="default" w:ascii="Times New Roman" w:hAnsi="Times New Roman" w:eastAsia="仿宋_GB2312" w:cs="Times New Roman"/>
          <w:b w:val="0"/>
          <w:bCs w:val="0"/>
          <w:color w:val="0F1116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eastAsia="仿宋" w:cs="Times New Roman"/>
          <w:color w:val="0F1116"/>
          <w:kern w:val="0"/>
          <w:sz w:val="30"/>
          <w:szCs w:val="30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廉政承诺书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为加强招标投标活动中的廉政建设，进一步规范招标投标市场，体现公开、公平、公正的原则，根据国家有关法律、法规和廉政建设责任制的规定，本投标人特作如下承诺: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1、不与招标人及其他投标人私下串通协商进行围标、串标、抬标，控制投标价格。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2、不向招标人、评标专家行贿，以不正当手段谋取中标。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3、不向招标投标监管人员请客、送礼及组织其它有可能影响客观公正监管的活动。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4、自觉遵守开标、评标现场工作纪律，不私下接触评标专家，不干扰正常的开标评标秩序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单位（公章）：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right="0" w:firstLine="3200" w:firstLineChars="1000"/>
        <w:jc w:val="left"/>
        <w:textAlignment w:val="auto"/>
        <w:rPr>
          <w:rFonts w:hint="default" w:ascii="Times New Roman" w:hAnsi="Times New Roman" w:eastAsia="仿宋_GB2312" w:cs="Times New Roman"/>
          <w:color w:val="181A1F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法定代表人或负责人：</w:t>
      </w:r>
      <w:r>
        <w:rPr>
          <w:rFonts w:hint="default" w:ascii="Times New Roman" w:hAnsi="Times New Roman" w:eastAsia="仿宋_GB2312" w:cs="Times New Roman"/>
          <w:color w:val="181A1F"/>
          <w:kern w:val="0"/>
          <w:sz w:val="32"/>
          <w:szCs w:val="32"/>
        </w:rPr>
        <w:t>(签字或盖章)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日期：     年    月    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  <w:t>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方法及标准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 w:eastAsia="zh-CN"/>
        </w:rPr>
        <w:t>评审方法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本项目采用综合评分法。总分为100分。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二、评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 w:eastAsia="zh-CN"/>
        </w:rPr>
        <w:t>分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标准</w:t>
      </w:r>
    </w:p>
    <w:tbl>
      <w:tblPr>
        <w:tblStyle w:val="9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40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2919" w:type="dxa"/>
            <w:gridSpan w:val="2"/>
            <w:noWrap w:val="0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647" w:type="dxa"/>
            <w:noWrap w:val="0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50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人员配置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20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7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13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分值</w:t>
            </w:r>
          </w:p>
        </w:tc>
        <w:tc>
          <w:tcPr>
            <w:tcW w:w="66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57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</w:tc>
        <w:tc>
          <w:tcPr>
            <w:tcW w:w="13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</w:p>
        </w:tc>
        <w:tc>
          <w:tcPr>
            <w:tcW w:w="66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收费高于服务费1.35万元为无效报价；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有效投标报价中，最低的投标报价为评标基准价。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57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业绩</w:t>
            </w:r>
          </w:p>
        </w:tc>
        <w:tc>
          <w:tcPr>
            <w:tcW w:w="13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ind w:left="0" w:leftChars="0" w:firstLine="320" w:firstLineChars="1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30分</w:t>
            </w:r>
          </w:p>
        </w:tc>
        <w:tc>
          <w:tcPr>
            <w:tcW w:w="66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right="0" w:righ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近5年来承接过的项目业绩（此项最多提供5个业绩）：其中每提供一项“包含专项审计类的业绩”得6分；每提供一项“不包含专项审计类的业绩”得5分，本项得分最高30分。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57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人员配置</w:t>
            </w:r>
          </w:p>
        </w:tc>
        <w:tc>
          <w:tcPr>
            <w:tcW w:w="13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20分</w:t>
            </w:r>
          </w:p>
        </w:tc>
        <w:tc>
          <w:tcPr>
            <w:tcW w:w="66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本次项目团队成员每有1名注册会计师得10分，最高20分。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8CA8B"/>
    <w:multiLevelType w:val="singleLevel"/>
    <w:tmpl w:val="3838CA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49A22F04"/>
    <w:rsid w:val="49A22F04"/>
    <w:rsid w:val="665A717C"/>
    <w:rsid w:val="6F17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3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heading 2"/>
    <w:basedOn w:val="1"/>
    <w:next w:val="1"/>
    <w:qFormat/>
    <w:uiPriority w:val="3"/>
    <w:pPr>
      <w:keepNext/>
      <w:keepLines/>
      <w:spacing w:line="560" w:lineRule="exact"/>
      <w:ind w:firstLine="200" w:firstLineChars="200"/>
      <w:outlineLvl w:val="1"/>
    </w:pPr>
    <w:rPr>
      <w:rFonts w:eastAsia="楷体" w:asciiTheme="majorHAnsi" w:hAnsiTheme="majorHAnsi" w:cstheme="majorBidi"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684</Words>
  <Characters>709</Characters>
  <Lines>0</Lines>
  <Paragraphs>0</Paragraphs>
  <TotalTime>0</TotalTime>
  <ScaleCrop>false</ScaleCrop>
  <LinksUpToDate>false</LinksUpToDate>
  <CharactersWithSpaces>941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2024-05-13T08:25:00Z</dcterms:created>
  <dc:creator>Administrator</dc:creator>
  <cp:lastModifiedBy>萌萌噠</cp:lastModifiedBy>
  <dcterms:modified xsi:type="dcterms:W3CDTF">2024-05-13T08:34:31Z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C2045DA76AF74D4C9BEA77714EBE4F36_13</vt:lpwstr>
  </property>
</Properties>
</file>