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default" w:ascii="Times New Roman" w:hAnsi="Times New Roman" w:eastAsia="仿宋_GB2312" w:cs="Times New Roman"/>
          <w:sz w:val="32"/>
          <w:szCs w:val="32"/>
          <w:highlight w:val="none"/>
          <w:lang w:val="en-US" w:eastAsia="zh-CN"/>
        </w:rPr>
      </w:pPr>
      <w:bookmarkStart w:id="0" w:name="_GoBack"/>
      <w:bookmarkEnd w:id="0"/>
      <w:r>
        <w:rPr>
          <w:rFonts w:hint="default" w:ascii="Times New Roman" w:hAnsi="Times New Roman" w:eastAsia="仿宋_GB2312" w:cs="Times New Roman"/>
          <w:sz w:val="32"/>
          <w:szCs w:val="32"/>
          <w:highlight w:val="none"/>
          <w:lang w:val="en-US" w:eastAsia="zh-CN"/>
        </w:rPr>
        <w:t>附件1</w:t>
      </w:r>
    </w:p>
    <w:p>
      <w:pPr>
        <w:keepNext w:val="0"/>
        <w:keepLines w:val="0"/>
        <w:pageBreakBefore w:val="0"/>
        <w:widowControl w:val="0"/>
        <w:shd w:val="clear" w:color="auto" w:fill="auto"/>
        <w:kinsoku/>
        <w:wordWrap/>
        <w:overflowPunct/>
        <w:topLinePunct w:val="0"/>
        <w:autoSpaceDE/>
        <w:autoSpaceDN/>
        <w:bidi w:val="0"/>
        <w:spacing w:line="560" w:lineRule="exact"/>
        <w:ind w:left="0" w:leftChars="0" w:right="0" w:rightChars="0"/>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shd w:val="clear" w:color="auto" w:fill="auto"/>
        <w:kinsoku/>
        <w:wordWrap/>
        <w:overflowPunct/>
        <w:topLinePunct w:val="0"/>
        <w:autoSpaceDE/>
        <w:autoSpaceDN/>
        <w:bidi w:val="0"/>
        <w:spacing w:line="560" w:lineRule="exact"/>
        <w:ind w:left="0" w:leftChars="0" w:right="0" w:righ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pPr>
        <w:keepNext w:val="0"/>
        <w:keepLines w:val="0"/>
        <w:pageBreakBefore w:val="0"/>
        <w:widowControl w:val="0"/>
        <w:shd w:val="clear" w:color="auto" w:fill="auto"/>
        <w:kinsoku/>
        <w:wordWrap/>
        <w:overflowPunct/>
        <w:topLinePunct w:val="0"/>
        <w:autoSpaceDE/>
        <w:autoSpaceDN/>
        <w:bidi w:val="0"/>
        <w:spacing w:line="560" w:lineRule="exact"/>
        <w:ind w:left="0" w:leftChars="0" w:right="0" w:rightChars="0"/>
        <w:jc w:val="center"/>
        <w:textAlignment w:val="auto"/>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pageBreakBefore w:val="0"/>
              <w:widowControl/>
              <w:shd w:val="clear" w:color="auto" w:fill="auto"/>
              <w:kinsoku/>
              <w:wordWrap/>
              <w:overflowPunct/>
              <w:topLinePunct w:val="0"/>
              <w:bidi w:val="0"/>
              <w:spacing w:line="540" w:lineRule="exact"/>
              <w:ind w:left="0" w:leftChars="0" w:right="0" w:rightChars="0"/>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snapToGrid/>
              <w:spacing w:line="540" w:lineRule="exact"/>
              <w:ind w:left="0" w:leftChars="0" w:right="0" w:rightChars="0"/>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许昌市中心城区供热基础设施建设工程勘察设计招标代理服务</w:t>
            </w: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pPr>
              <w:pageBreakBefore w:val="0"/>
              <w:widowControl/>
              <w:shd w:val="clear" w:color="auto" w:fill="auto"/>
              <w:kinsoku/>
              <w:wordWrap/>
              <w:overflowPunct/>
              <w:topLinePunct w:val="0"/>
              <w:bidi w:val="0"/>
              <w:spacing w:line="540" w:lineRule="exact"/>
              <w:ind w:left="0" w:leftChars="0" w:right="0" w:rightChars="0"/>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pageBreakBefore w:val="0"/>
              <w:widowControl/>
              <w:shd w:val="clear" w:color="auto" w:fill="auto"/>
              <w:kinsoku/>
              <w:wordWrap/>
              <w:overflowPunct/>
              <w:topLinePunct w:val="0"/>
              <w:bidi w:val="0"/>
              <w:spacing w:line="540" w:lineRule="exact"/>
              <w:ind w:left="0" w:leftChars="0" w:right="0" w:rightChars="0"/>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pageBreakBefore w:val="0"/>
              <w:widowControl/>
              <w:shd w:val="clear" w:color="auto" w:fill="auto"/>
              <w:kinsoku/>
              <w:wordWrap/>
              <w:overflowPunct/>
              <w:topLinePunct w:val="0"/>
              <w:bidi w:val="0"/>
              <w:spacing w:line="540" w:lineRule="exact"/>
              <w:ind w:left="0" w:leftChars="0" w:right="0" w:rightChars="0"/>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pageBreakBefore w:val="0"/>
              <w:widowControl/>
              <w:shd w:val="clear" w:color="auto" w:fill="auto"/>
              <w:kinsoku/>
              <w:wordWrap/>
              <w:overflowPunct/>
              <w:topLinePunct w:val="0"/>
              <w:bidi w:val="0"/>
              <w:spacing w:line="540" w:lineRule="exact"/>
              <w:ind w:left="0" w:leftChars="0" w:right="0" w:rightChars="0"/>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pageBreakBefore w:val="0"/>
              <w:widowControl/>
              <w:shd w:val="clear" w:color="auto" w:fill="auto"/>
              <w:kinsoku/>
              <w:wordWrap/>
              <w:overflowPunct/>
              <w:topLinePunct w:val="0"/>
              <w:bidi w:val="0"/>
              <w:spacing w:line="540" w:lineRule="exact"/>
              <w:ind w:left="0" w:leftChars="0" w:right="0" w:rightChars="0"/>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pPr>
              <w:pageBreakBefore w:val="0"/>
              <w:widowControl/>
              <w:shd w:val="clear" w:color="auto" w:fill="auto"/>
              <w:kinsoku/>
              <w:wordWrap/>
              <w:overflowPunct/>
              <w:topLinePunct w:val="0"/>
              <w:bidi w:val="0"/>
              <w:spacing w:line="540" w:lineRule="exact"/>
              <w:ind w:left="0" w:leftChars="0" w:right="0" w:rightChars="0"/>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pageBreakBefore w:val="0"/>
              <w:widowControl/>
              <w:shd w:val="clear" w:color="auto" w:fill="auto"/>
              <w:kinsoku/>
              <w:wordWrap/>
              <w:overflowPunct/>
              <w:topLinePunct w:val="0"/>
              <w:bidi w:val="0"/>
              <w:spacing w:line="540" w:lineRule="exact"/>
              <w:ind w:left="0" w:leftChars="0" w:right="0" w:rightChars="0"/>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pPr>
              <w:pageBreakBefore w:val="0"/>
              <w:widowControl/>
              <w:shd w:val="clear" w:color="auto" w:fill="auto"/>
              <w:kinsoku/>
              <w:wordWrap/>
              <w:overflowPunct/>
              <w:topLinePunct w:val="0"/>
              <w:bidi w:val="0"/>
              <w:spacing w:line="540" w:lineRule="exact"/>
              <w:ind w:left="0" w:leftChars="0" w:right="0" w:rightChars="0"/>
              <w:jc w:val="center"/>
              <w:textAlignment w:val="center"/>
              <w:rPr>
                <w:rFonts w:hint="eastAsia" w:ascii="仿宋_GB2312" w:hAnsi="宋体" w:eastAsia="仿宋_GB2312" w:cs="仿宋_GB2312"/>
                <w:b/>
                <w:color w:val="000000"/>
                <w:kern w:val="0"/>
                <w:sz w:val="32"/>
                <w:szCs w:val="32"/>
                <w:lang w:bidi="ar"/>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pageBreakBefore w:val="0"/>
              <w:widowControl/>
              <w:shd w:val="clear" w:color="auto" w:fill="auto"/>
              <w:kinsoku/>
              <w:wordWrap/>
              <w:overflowPunct/>
              <w:topLinePunct w:val="0"/>
              <w:bidi w:val="0"/>
              <w:spacing w:line="540" w:lineRule="exact"/>
              <w:ind w:left="0" w:leftChars="0" w:right="0" w:rightChars="0"/>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pPr>
              <w:pageBreakBefore w:val="0"/>
              <w:widowControl/>
              <w:shd w:val="clear" w:color="auto" w:fill="auto"/>
              <w:kinsoku/>
              <w:wordWrap/>
              <w:overflowPunct/>
              <w:topLinePunct w:val="0"/>
              <w:bidi w:val="0"/>
              <w:spacing w:line="540" w:lineRule="exact"/>
              <w:ind w:left="0" w:leftChars="0" w:right="0" w:rightChars="0"/>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r>
              <w:rPr>
                <w:rFonts w:hint="default" w:ascii="Times New Roman" w:hAnsi="Times New Roman" w:eastAsia="仿宋_GB2312" w:cs="Times New Roman"/>
                <w:sz w:val="32"/>
                <w:szCs w:val="32"/>
                <w:highlight w:val="none"/>
                <w:lang w:val="en-US" w:eastAsia="zh-CN"/>
              </w:rPr>
              <w:t>%</w:t>
            </w:r>
          </w:p>
        </w:tc>
      </w:tr>
    </w:tbl>
    <w:p>
      <w:pPr>
        <w:pageBreakBefore w:val="0"/>
        <w:shd w:val="clear" w:color="auto" w:fill="auto"/>
        <w:kinsoku/>
        <w:wordWrap/>
        <w:overflowPunct/>
        <w:topLinePunct w:val="0"/>
        <w:bidi w:val="0"/>
        <w:adjustRightInd w:val="0"/>
        <w:spacing w:line="540" w:lineRule="exact"/>
        <w:ind w:left="0" w:leftChars="0" w:right="0" w:rightChars="0" w:firstLine="640" w:firstLineChars="200"/>
        <w:jc w:val="right"/>
        <w:rPr>
          <w:rFonts w:hint="eastAsia" w:ascii="仿宋_GB2312" w:hAnsi="仿宋_GB2312" w:eastAsia="仿宋_GB2312" w:cs="仿宋_GB2312"/>
          <w:sz w:val="32"/>
          <w:szCs w:val="32"/>
          <w:highlight w:val="none"/>
          <w:lang w:val="en-US" w:eastAsia="zh-CN"/>
        </w:rPr>
      </w:pPr>
    </w:p>
    <w:p>
      <w:pPr>
        <w:pageBreakBefore w:val="0"/>
        <w:shd w:val="clear" w:color="auto" w:fill="auto"/>
        <w:kinsoku/>
        <w:wordWrap/>
        <w:overflowPunct/>
        <w:topLinePunct w:val="0"/>
        <w:bidi w:val="0"/>
        <w:adjustRightInd w:val="0"/>
        <w:spacing w:line="540" w:lineRule="exact"/>
        <w:ind w:left="0" w:leftChars="0" w:right="0" w:rightChars="0" w:firstLine="640" w:firstLineChars="200"/>
        <w:jc w:val="right"/>
        <w:rPr>
          <w:rFonts w:hint="eastAsia" w:ascii="仿宋_GB2312" w:hAnsi="仿宋_GB2312" w:eastAsia="仿宋_GB2312" w:cs="仿宋_GB2312"/>
          <w:sz w:val="32"/>
          <w:szCs w:val="32"/>
          <w:highlight w:val="none"/>
          <w:lang w:val="en-US" w:eastAsia="zh-CN"/>
        </w:rPr>
      </w:pPr>
    </w:p>
    <w:p>
      <w:pPr>
        <w:pStyle w:val="9"/>
        <w:pageBreakBefore w:val="0"/>
        <w:kinsoku/>
        <w:wordWrap/>
        <w:overflowPunct/>
        <w:topLinePunct w:val="0"/>
        <w:bidi w:val="0"/>
        <w:spacing w:line="540" w:lineRule="exact"/>
        <w:ind w:left="0" w:leftChars="0" w:right="0" w:rightChars="0"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pageBreakBefore w:val="0"/>
        <w:kinsoku/>
        <w:wordWrap/>
        <w:overflowPunct/>
        <w:topLinePunct w:val="0"/>
        <w:bidi w:val="0"/>
        <w:spacing w:line="540" w:lineRule="exact"/>
        <w:ind w:left="0" w:leftChars="0" w:right="0" w:rightChars="0"/>
        <w:rPr>
          <w:rFonts w:hint="eastAsia" w:ascii="仿宋_GB2312" w:hAnsi="仿宋_GB2312" w:eastAsia="仿宋_GB2312" w:cs="仿宋_GB2312"/>
          <w:sz w:val="32"/>
          <w:szCs w:val="32"/>
          <w:highlight w:val="none"/>
          <w:lang w:val="en-US" w:eastAsia="zh-CN"/>
        </w:rPr>
      </w:pPr>
    </w:p>
    <w:p>
      <w:pPr>
        <w:pageBreakBefore w:val="0"/>
        <w:kinsoku/>
        <w:wordWrap/>
        <w:overflowPunct/>
        <w:topLinePunct w:val="0"/>
        <w:bidi w:val="0"/>
        <w:spacing w:line="540" w:lineRule="exact"/>
        <w:ind w:left="0" w:leftChars="0" w:right="0" w:rightChars="0"/>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r>
        <w:rPr>
          <w:rFonts w:hint="default" w:ascii="Times New Roman" w:hAnsi="Times New Roman" w:eastAsia="仿宋_GB2312" w:cs="Times New Roman"/>
          <w:sz w:val="32"/>
          <w:szCs w:val="32"/>
          <w:highlight w:val="none"/>
          <w:lang w:val="en-US" w:eastAsia="zh-CN"/>
        </w:rPr>
        <w:t>2</w:t>
      </w:r>
    </w:p>
    <w:p>
      <w:pPr>
        <w:pStyle w:val="10"/>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contextualSpacing/>
        <w:jc w:val="center"/>
        <w:textAlignment w:val="auto"/>
        <w:rPr>
          <w:rFonts w:hint="eastAsia" w:ascii="方正小标宋简体" w:hAnsi="方正小标宋简体" w:eastAsia="方正小标宋简体" w:cs="方正小标宋简体"/>
          <w:b w:val="0"/>
          <w:bCs/>
          <w:sz w:val="44"/>
          <w:szCs w:val="44"/>
          <w:lang w:val="zh-CN"/>
        </w:rPr>
      </w:pPr>
    </w:p>
    <w:p>
      <w:pPr>
        <w:pStyle w:val="10"/>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contextualSpacing/>
        <w:jc w:val="center"/>
        <w:textAlignment w:val="auto"/>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textAlignment w:val="auto"/>
        <w:rPr>
          <w:rFonts w:hint="eastAsia" w:ascii="仿宋_GB2312" w:hAnsi="仿宋_GB2312" w:eastAsia="仿宋_GB2312" w:cs="仿宋_GB2312"/>
          <w:b/>
          <w:bCs/>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w:t>
      </w:r>
      <w:r>
        <w:rPr>
          <w:rFonts w:hint="default" w:ascii="Times New Roman" w:hAnsi="Times New Roman" w:eastAsia="仿宋_GB2312" w:cs="Times New Roman"/>
          <w:sz w:val="32"/>
          <w:szCs w:val="32"/>
          <w:lang w:val="zh-CN" w:eastAsia="zh-CN"/>
        </w:rPr>
        <w:t>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本项目采用综合评分法。总分为100分。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vAlign w:val="center"/>
          </w:tcPr>
          <w:p>
            <w:pPr>
              <w:pageBreakBefore w:val="0"/>
              <w:tabs>
                <w:tab w:val="left" w:pos="1260"/>
              </w:tabs>
              <w:kinsoku/>
              <w:wordWrap/>
              <w:overflowPunct/>
              <w:topLinePunct w:val="0"/>
              <w:autoSpaceDE w:val="0"/>
              <w:autoSpaceDN w:val="0"/>
              <w:bidi w:val="0"/>
              <w:adjustRightInd w:val="0"/>
              <w:snapToGrid w:val="0"/>
              <w:spacing w:line="540" w:lineRule="exact"/>
              <w:ind w:left="0" w:leftChars="0" w:right="0" w:rightChars="0"/>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pPr>
              <w:keepNext w:val="0"/>
              <w:keepLines w:val="0"/>
              <w:pageBreakBefore w:val="0"/>
              <w:widowControl w:val="0"/>
              <w:tabs>
                <w:tab w:val="left" w:pos="1260"/>
              </w:tabs>
              <w:kinsoku/>
              <w:wordWrap/>
              <w:overflowPunct/>
              <w:topLinePunct w:val="0"/>
              <w:autoSpaceDE/>
              <w:autoSpaceDN/>
              <w:bidi w:val="0"/>
              <w:adjustRightInd w:val="0"/>
              <w:snapToGrid w:val="0"/>
              <w:spacing w:line="540" w:lineRule="exact"/>
              <w:ind w:left="0" w:leftChars="0" w:right="0" w:rightChars="0"/>
              <w:jc w:val="center"/>
              <w:textAlignment w:val="auto"/>
              <w:rPr>
                <w:rFonts w:hint="default" w:ascii="Times New Roman" w:hAnsi="Times New Roman" w:eastAsia="仿宋_GB2312" w:cs="Times New Roman"/>
                <w:sz w:val="32"/>
                <w:szCs w:val="32"/>
                <w:lang w:val="zh-CN"/>
              </w:rPr>
            </w:pPr>
            <w:r>
              <w:rPr>
                <w:rFonts w:hint="eastAsia" w:eastAsia="仿宋_GB2312" w:cs="Times New Roman"/>
                <w:sz w:val="32"/>
                <w:szCs w:val="32"/>
                <w:lang w:val="zh-CN"/>
              </w:rPr>
              <w:t>（</w:t>
            </w:r>
            <w:r>
              <w:rPr>
                <w:rFonts w:hint="default" w:ascii="Times New Roman" w:hAnsi="Times New Roman" w:eastAsia="仿宋_GB2312" w:cs="Times New Roman"/>
                <w:sz w:val="32"/>
                <w:szCs w:val="32"/>
                <w:lang w:val="zh-CN"/>
              </w:rPr>
              <w:t>总分100分</w:t>
            </w:r>
            <w:r>
              <w:rPr>
                <w:rFonts w:hint="eastAsia" w:eastAsia="仿宋_GB2312" w:cs="Times New Roman"/>
                <w:sz w:val="32"/>
                <w:szCs w:val="32"/>
                <w:lang w:val="zh-CN"/>
              </w:rPr>
              <w:t>）</w:t>
            </w:r>
          </w:p>
        </w:tc>
        <w:tc>
          <w:tcPr>
            <w:tcW w:w="6786" w:type="dxa"/>
            <w:vAlign w:val="center"/>
          </w:tcPr>
          <w:p>
            <w:pPr>
              <w:pageBreakBefore w:val="0"/>
              <w:widowControl/>
              <w:kinsoku/>
              <w:wordWrap/>
              <w:overflowPunct/>
              <w:topLinePunct w:val="0"/>
              <w:bidi w:val="0"/>
              <w:adjustRightInd w:val="0"/>
              <w:snapToGrid w:val="0"/>
              <w:spacing w:line="540" w:lineRule="exact"/>
              <w:ind w:left="0" w:leftChars="0" w:right="0" w:rightChars="0"/>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企业报价</w:t>
            </w:r>
            <w:r>
              <w:rPr>
                <w:rFonts w:hint="default" w:ascii="Times New Roman" w:hAnsi="Times New Roman" w:eastAsia="仿宋_GB2312" w:cs="Times New Roman"/>
                <w:sz w:val="32"/>
                <w:szCs w:val="32"/>
                <w:lang w:val="zh-CN"/>
              </w:rPr>
              <w:t>：</w:t>
            </w:r>
            <w:r>
              <w:rPr>
                <w:rFonts w:hint="eastAsia" w:eastAsia="仿宋_GB2312" w:cs="Times New Roman"/>
                <w:sz w:val="32"/>
                <w:szCs w:val="32"/>
                <w:lang w:val="en-US" w:eastAsia="zh-CN"/>
              </w:rPr>
              <w:t xml:space="preserve"> 35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分</w:t>
            </w:r>
          </w:p>
          <w:p>
            <w:pPr>
              <w:pageBreakBefore w:val="0"/>
              <w:widowControl/>
              <w:kinsoku/>
              <w:wordWrap/>
              <w:overflowPunct/>
              <w:topLinePunct w:val="0"/>
              <w:bidi w:val="0"/>
              <w:adjustRightInd w:val="0"/>
              <w:snapToGrid w:val="0"/>
              <w:spacing w:line="540" w:lineRule="exact"/>
              <w:ind w:left="0" w:leftChars="0" w:right="0" w:rightChars="0"/>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 xml:space="preserve"> 分</w:t>
            </w:r>
          </w:p>
          <w:p>
            <w:pPr>
              <w:pageBreakBefore w:val="0"/>
              <w:widowControl/>
              <w:kinsoku/>
              <w:wordWrap/>
              <w:overflowPunct/>
              <w:topLinePunct w:val="0"/>
              <w:bidi w:val="0"/>
              <w:adjustRightInd w:val="0"/>
              <w:snapToGrid w:val="0"/>
              <w:spacing w:line="540" w:lineRule="exact"/>
              <w:ind w:left="0" w:leftChars="0" w:right="0" w:right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w:t>
            </w:r>
            <w:r>
              <w:rPr>
                <w:rFonts w:hint="eastAsia" w:eastAsia="仿宋_GB2312" w:cs="Times New Roman"/>
                <w:sz w:val="32"/>
                <w:szCs w:val="32"/>
                <w:lang w:val="en-US" w:eastAsia="zh-CN"/>
              </w:rPr>
              <w:t>实力</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0 分</w:t>
            </w:r>
          </w:p>
          <w:p>
            <w:pPr>
              <w:pageBreakBefore w:val="0"/>
              <w:widowControl/>
              <w:kinsoku/>
              <w:wordWrap/>
              <w:overflowPunct/>
              <w:topLinePunct w:val="0"/>
              <w:bidi w:val="0"/>
              <w:adjustRightInd w:val="0"/>
              <w:snapToGrid w:val="0"/>
              <w:spacing w:line="540" w:lineRule="exact"/>
              <w:ind w:left="0" w:leftChars="0" w:right="0" w:right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 20 分</w:t>
            </w:r>
          </w:p>
          <w:p>
            <w:pPr>
              <w:pageBreakBefore w:val="0"/>
              <w:widowControl/>
              <w:kinsoku/>
              <w:wordWrap/>
              <w:overflowPunct/>
              <w:topLinePunct w:val="0"/>
              <w:bidi w:val="0"/>
              <w:adjustRightInd w:val="0"/>
              <w:snapToGrid w:val="0"/>
              <w:spacing w:line="540" w:lineRule="exact"/>
              <w:ind w:left="0" w:leftChars="0" w:right="0" w:right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人员配置： </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 xml:space="preserve"> 分</w:t>
            </w:r>
          </w:p>
          <w:p>
            <w:pPr>
              <w:pageBreakBefore w:val="0"/>
              <w:widowControl/>
              <w:kinsoku/>
              <w:wordWrap/>
              <w:overflowPunct/>
              <w:topLinePunct w:val="0"/>
              <w:bidi w:val="0"/>
              <w:adjustRightInd w:val="0"/>
              <w:snapToGrid w:val="0"/>
              <w:spacing w:line="540" w:lineRule="exact"/>
              <w:ind w:left="0" w:leftChars="0" w:right="0" w:rightChars="0"/>
              <w:jc w:val="left"/>
              <w:rPr>
                <w:rFonts w:hint="default" w:ascii="Times New Roman" w:hAnsi="Times New Roman" w:cs="Times New Roman"/>
                <w:lang w:val="zh-CN"/>
              </w:rPr>
            </w:pPr>
            <w:r>
              <w:rPr>
                <w:rFonts w:hint="default" w:ascii="Times New Roman" w:hAnsi="Times New Roman" w:eastAsia="仿宋_GB2312" w:cs="Times New Roman"/>
                <w:sz w:val="32"/>
                <w:szCs w:val="32"/>
                <w:lang w:val="en-US" w:eastAsia="zh-CN"/>
              </w:rPr>
              <w:t xml:space="preserve">服务效率： </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tcMar>
              <w:top w:w="0" w:type="dxa"/>
              <w:left w:w="0" w:type="dxa"/>
              <w:bottom w:w="0" w:type="dxa"/>
              <w:right w:w="0" w:type="dxa"/>
            </w:tcMar>
            <w:vAlign w:val="center"/>
          </w:tcPr>
          <w:p>
            <w:pPr>
              <w:pageBreakBefore w:val="0"/>
              <w:kinsoku/>
              <w:wordWrap/>
              <w:overflowPunct/>
              <w:topLinePunct w:val="0"/>
              <w:bidi w:val="0"/>
              <w:spacing w:line="540" w:lineRule="exact"/>
              <w:ind w:left="0" w:leftChars="0" w:right="0" w:rightChars="0"/>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1405" w:type="dxa"/>
            <w:tcMar>
              <w:top w:w="0" w:type="dxa"/>
              <w:left w:w="0" w:type="dxa"/>
              <w:bottom w:w="0" w:type="dxa"/>
              <w:right w:w="0" w:type="dxa"/>
            </w:tcMar>
            <w:vAlign w:val="center"/>
          </w:tcPr>
          <w:p>
            <w:pPr>
              <w:pageBreakBefore w:val="0"/>
              <w:kinsoku/>
              <w:wordWrap/>
              <w:overflowPunct/>
              <w:topLinePunct w:val="0"/>
              <w:bidi w:val="0"/>
              <w:spacing w:line="540" w:lineRule="exact"/>
              <w:ind w:left="0" w:leftChars="0" w:right="0" w:rightChars="0"/>
              <w:jc w:val="center"/>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分值</w:t>
            </w:r>
          </w:p>
        </w:tc>
        <w:tc>
          <w:tcPr>
            <w:tcW w:w="6786" w:type="dxa"/>
            <w:tcMar>
              <w:top w:w="0" w:type="dxa"/>
              <w:left w:w="0" w:type="dxa"/>
              <w:bottom w:w="0" w:type="dxa"/>
              <w:right w:w="0" w:type="dxa"/>
            </w:tcMar>
            <w:vAlign w:val="center"/>
          </w:tcPr>
          <w:p>
            <w:pPr>
              <w:pageBreakBefore w:val="0"/>
              <w:kinsoku/>
              <w:wordWrap/>
              <w:overflowPunct/>
              <w:topLinePunct w:val="0"/>
              <w:bidi w:val="0"/>
              <w:spacing w:line="540" w:lineRule="exact"/>
              <w:ind w:left="0" w:leftChars="0" w:right="0" w:rightChars="0"/>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tcMar>
              <w:top w:w="0" w:type="dxa"/>
              <w:left w:w="0" w:type="dxa"/>
              <w:bottom w:w="0" w:type="dxa"/>
              <w:right w:w="0" w:type="dxa"/>
            </w:tcMar>
            <w:vAlign w:val="center"/>
          </w:tcPr>
          <w:p>
            <w:pPr>
              <w:pageBreakBefore w:val="0"/>
              <w:kinsoku/>
              <w:wordWrap/>
              <w:overflowPunct/>
              <w:topLinePunct w:val="0"/>
              <w:bidi w:val="0"/>
              <w:adjustRightInd w:val="0"/>
              <w:snapToGrid w:val="0"/>
              <w:spacing w:line="540" w:lineRule="exact"/>
              <w:ind w:left="0" w:leftChars="0" w:right="0" w:right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tc>
        <w:tc>
          <w:tcPr>
            <w:tcW w:w="1405" w:type="dxa"/>
            <w:tcMar>
              <w:top w:w="0" w:type="dxa"/>
              <w:left w:w="0" w:type="dxa"/>
              <w:bottom w:w="0" w:type="dxa"/>
              <w:right w:w="0" w:type="dxa"/>
            </w:tcMar>
            <w:vAlign w:val="center"/>
          </w:tcPr>
          <w:p>
            <w:pPr>
              <w:pageBreakBefore w:val="0"/>
              <w:kinsoku/>
              <w:wordWrap/>
              <w:overflowPunct/>
              <w:topLinePunct w:val="0"/>
              <w:bidi w:val="0"/>
              <w:adjustRightInd w:val="0"/>
              <w:snapToGrid w:val="0"/>
              <w:spacing w:line="540" w:lineRule="exact"/>
              <w:ind w:left="0" w:leftChars="0" w:right="0" w:rightChars="0"/>
              <w:jc w:val="center"/>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35</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both"/>
              <w:textAlignment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1.收费超过</w:t>
            </w:r>
            <w:r>
              <w:rPr>
                <w:rFonts w:hint="default" w:ascii="Times New Roman" w:hAnsi="Times New Roman" w:eastAsia="仿宋_GB2312" w:cs="Times New Roman"/>
                <w:sz w:val="32"/>
                <w:szCs w:val="32"/>
                <w:lang w:val="en-US" w:eastAsia="zh-CN"/>
              </w:rPr>
              <w:t>控制价的</w:t>
            </w:r>
            <w:r>
              <w:rPr>
                <w:rFonts w:hint="default" w:ascii="Times New Roman" w:hAnsi="Times New Roman" w:eastAsia="仿宋_GB2312" w:cs="Times New Roman"/>
                <w:sz w:val="32"/>
                <w:szCs w:val="32"/>
                <w:lang w:val="zh-CN"/>
              </w:rPr>
              <w:t>为无效报价；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both"/>
              <w:textAlignment w:val="center"/>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pPr>
              <w:rPr>
                <w:rFonts w:hint="default" w:ascii="Times New Roman" w:hAnsi="Times New Roman" w:eastAsia="仿宋_GB2312" w:cs="Times New Roman"/>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5" w:hRule="atLeast"/>
          <w:jc w:val="center"/>
        </w:trPr>
        <w:tc>
          <w:tcPr>
            <w:tcW w:w="1508" w:type="dxa"/>
            <w:tcMar>
              <w:top w:w="0" w:type="dxa"/>
              <w:left w:w="0" w:type="dxa"/>
              <w:bottom w:w="0" w:type="dxa"/>
              <w:right w:w="0" w:type="dxa"/>
            </w:tcMar>
            <w:vAlign w:val="center"/>
          </w:tcPr>
          <w:p>
            <w:pPr>
              <w:pageBreakBefore w:val="0"/>
              <w:kinsoku/>
              <w:wordWrap/>
              <w:overflowPunct/>
              <w:topLinePunct w:val="0"/>
              <w:bidi w:val="0"/>
              <w:adjustRightInd w:val="0"/>
              <w:snapToGrid w:val="0"/>
              <w:spacing w:line="540" w:lineRule="exact"/>
              <w:ind w:left="0" w:leftChars="0" w:right="0" w:right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服务方案</w:t>
            </w:r>
          </w:p>
        </w:tc>
        <w:tc>
          <w:tcPr>
            <w:tcW w:w="1405" w:type="dxa"/>
            <w:tcMar>
              <w:top w:w="0" w:type="dxa"/>
              <w:left w:w="0" w:type="dxa"/>
              <w:bottom w:w="0" w:type="dxa"/>
              <w:right w:w="0" w:type="dxa"/>
            </w:tcMar>
            <w:vAlign w:val="center"/>
          </w:tcPr>
          <w:p>
            <w:pPr>
              <w:pageBreakBefore w:val="0"/>
              <w:kinsoku/>
              <w:wordWrap/>
              <w:overflowPunct/>
              <w:topLinePunct w:val="0"/>
              <w:bidi w:val="0"/>
              <w:adjustRightInd w:val="0"/>
              <w:snapToGrid w:val="0"/>
              <w:spacing w:line="540" w:lineRule="exact"/>
              <w:ind w:left="0" w:leftChars="0" w:right="0" w:rightChars="0"/>
              <w:jc w:val="center"/>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分</w:t>
            </w:r>
          </w:p>
        </w:tc>
        <w:tc>
          <w:tcPr>
            <w:tcW w:w="6786" w:type="dxa"/>
            <w:tcMar>
              <w:top w:w="0" w:type="dxa"/>
              <w:left w:w="0" w:type="dxa"/>
              <w:bottom w:w="0" w:type="dxa"/>
              <w:right w:w="0" w:type="dxa"/>
            </w:tcMar>
            <w:vAlign w:val="center"/>
          </w:tcPr>
          <w:p>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1.总体服务方案</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内容详实完整、实际可行，思路清楚，各服务要求齐全，制定的服务方案能够保证本次招标代理服务的顺利</w:t>
            </w:r>
            <w:r>
              <w:rPr>
                <w:rFonts w:hint="default" w:ascii="Times New Roman" w:hAnsi="Times New Roman" w:eastAsia="仿宋_GB2312" w:cs="Times New Roman"/>
                <w:color w:val="auto"/>
                <w:sz w:val="32"/>
                <w:szCs w:val="32"/>
                <w:lang w:val="en-US" w:eastAsia="zh-CN"/>
              </w:rPr>
              <w:t>完成</w:t>
            </w:r>
            <w:r>
              <w:rPr>
                <w:rFonts w:hint="eastAsia" w:eastAsia="仿宋_GB2312" w:cs="Times New Roman"/>
                <w:color w:val="auto"/>
                <w:sz w:val="32"/>
                <w:szCs w:val="32"/>
                <w:lang w:val="en-US" w:eastAsia="zh-CN"/>
              </w:rPr>
              <w:t>且服务团队人员需提供聘用合同及半年以上的社保证明</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优</w:t>
            </w:r>
            <w:r>
              <w:rPr>
                <w:rFonts w:hint="eastAsia" w:eastAsia="仿宋_GB2312" w:cs="Times New Roman"/>
                <w:sz w:val="32"/>
                <w:szCs w:val="32"/>
                <w:lang w:val="en-US" w:eastAsia="zh-CN"/>
              </w:rPr>
              <w:t>秀</w:t>
            </w:r>
            <w:r>
              <w:rPr>
                <w:rFonts w:hint="default" w:ascii="Times New Roman" w:hAnsi="Times New Roman" w:eastAsia="仿宋_GB2312" w:cs="Times New Roman"/>
                <w:sz w:val="32"/>
                <w:szCs w:val="32"/>
                <w:lang w:val="zh-CN"/>
              </w:rPr>
              <w:t>者得</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zh-CN"/>
              </w:rPr>
              <w:t>分，良好者得</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rPr>
              <w:t>分，一般者得1分，没有不得分；</w:t>
            </w:r>
          </w:p>
          <w:p>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保障措施</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rPr>
              <w:t>对服务工作质量保证措施、时间进度管理措施、组织保障措施详细说明的，优</w:t>
            </w:r>
            <w:r>
              <w:rPr>
                <w:rFonts w:hint="eastAsia" w:eastAsia="仿宋_GB2312" w:cs="Times New Roman"/>
                <w:sz w:val="32"/>
                <w:szCs w:val="32"/>
                <w:lang w:val="en-US" w:eastAsia="zh-CN"/>
              </w:rPr>
              <w:t>秀</w:t>
            </w:r>
            <w:r>
              <w:rPr>
                <w:rFonts w:hint="default" w:ascii="Times New Roman" w:hAnsi="Times New Roman" w:eastAsia="仿宋_GB2312" w:cs="Times New Roman"/>
                <w:sz w:val="32"/>
                <w:szCs w:val="32"/>
                <w:lang w:val="zh-CN"/>
              </w:rPr>
              <w:t>者得</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zh-CN"/>
              </w:rPr>
              <w:t>分，良好者得</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zh-CN"/>
              </w:rPr>
              <w:t>分，一般者得1分，没有不得分；</w:t>
            </w:r>
          </w:p>
          <w:p>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 w:cs="Times New Roman"/>
                <w:sz w:val="32"/>
                <w:szCs w:val="32"/>
                <w:lang w:val="zh-CN"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风险控制制度：对项目风险的识别及应对有详细方案和措施的，优</w:t>
            </w:r>
            <w:r>
              <w:rPr>
                <w:rFonts w:hint="eastAsia" w:eastAsia="仿宋_GB2312" w:cs="Times New Roman"/>
                <w:sz w:val="32"/>
                <w:szCs w:val="32"/>
                <w:lang w:val="en-US" w:eastAsia="zh-CN"/>
              </w:rPr>
              <w:t>秀</w:t>
            </w:r>
            <w:r>
              <w:rPr>
                <w:rFonts w:hint="default" w:ascii="Times New Roman" w:hAnsi="Times New Roman" w:eastAsia="仿宋_GB2312" w:cs="Times New Roman"/>
                <w:sz w:val="32"/>
                <w:szCs w:val="32"/>
                <w:lang w:val="zh-CN"/>
              </w:rPr>
              <w:t>者得</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zh-CN"/>
              </w:rPr>
              <w:t>分，良好者得</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zh-CN"/>
              </w:rPr>
              <w:t>分，一般者得1分，没有不得分</w:t>
            </w:r>
            <w:r>
              <w:rPr>
                <w:rFonts w:hint="default" w:ascii="Times New Roman" w:hAnsi="Times New Roman" w:eastAsia="仿宋_GB2312" w:cs="Times New Roman"/>
                <w:sz w:val="32"/>
                <w:szCs w:val="32"/>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jc w:val="center"/>
        </w:trPr>
        <w:tc>
          <w:tcPr>
            <w:tcW w:w="1508" w:type="dxa"/>
            <w:tcMar>
              <w:top w:w="0" w:type="dxa"/>
              <w:left w:w="0" w:type="dxa"/>
              <w:bottom w:w="0" w:type="dxa"/>
              <w:right w:w="0" w:type="dxa"/>
            </w:tcMar>
            <w:vAlign w:val="center"/>
          </w:tcPr>
          <w:p>
            <w:pPr>
              <w:pageBreakBefore w:val="0"/>
              <w:kinsoku/>
              <w:wordWrap/>
              <w:overflowPunct/>
              <w:topLinePunct w:val="0"/>
              <w:bidi w:val="0"/>
              <w:adjustRightInd w:val="0"/>
              <w:snapToGrid w:val="0"/>
              <w:spacing w:line="540" w:lineRule="exact"/>
              <w:ind w:left="0" w:leftChars="0" w:right="0" w:rightChars="0"/>
              <w:jc w:val="center"/>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企业实力</w:t>
            </w:r>
          </w:p>
        </w:tc>
        <w:tc>
          <w:tcPr>
            <w:tcW w:w="1405" w:type="dxa"/>
            <w:tcMar>
              <w:top w:w="0" w:type="dxa"/>
              <w:left w:w="0" w:type="dxa"/>
              <w:bottom w:w="0" w:type="dxa"/>
              <w:right w:w="0" w:type="dxa"/>
            </w:tcMar>
            <w:vAlign w:val="center"/>
          </w:tcPr>
          <w:p>
            <w:pPr>
              <w:pageBreakBefore w:val="0"/>
              <w:widowControl/>
              <w:numPr>
                <w:ilvl w:val="0"/>
                <w:numId w:val="0"/>
              </w:numPr>
              <w:kinsoku/>
              <w:wordWrap/>
              <w:overflowPunct/>
              <w:topLinePunct w:val="0"/>
              <w:bidi w:val="0"/>
              <w:adjustRightInd w:val="0"/>
              <w:snapToGrid w:val="0"/>
              <w:spacing w:line="540" w:lineRule="exact"/>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10分</w:t>
            </w:r>
          </w:p>
        </w:tc>
        <w:tc>
          <w:tcPr>
            <w:tcW w:w="6786" w:type="dxa"/>
            <w:tcMar>
              <w:top w:w="0" w:type="dxa"/>
              <w:left w:w="0" w:type="dxa"/>
              <w:bottom w:w="0" w:type="dxa"/>
              <w:right w:w="0" w:type="dxa"/>
            </w:tcMar>
            <w:vAlign w:val="center"/>
          </w:tcPr>
          <w:p>
            <w:pPr>
              <w:pStyle w:val="2"/>
              <w:keepNext w:val="0"/>
              <w:keepLines w:val="0"/>
              <w:pageBreakBefore w:val="0"/>
              <w:numPr>
                <w:ilvl w:val="0"/>
                <w:numId w:val="0"/>
              </w:numPr>
              <w:kinsoku/>
              <w:wordWrap/>
              <w:overflowPunct/>
              <w:topLinePunct w:val="0"/>
              <w:autoSpaceDE/>
              <w:autoSpaceDN/>
              <w:bidi w:val="0"/>
              <w:spacing w:beforeAutospacing="0" w:afterAutospacing="0" w:line="5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1.企业自2020年以来荣获省级颁发的招标代理先进单位荣誉的，每有一项得</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分，</w:t>
            </w:r>
            <w:r>
              <w:rPr>
                <w:rFonts w:hint="eastAsia" w:ascii="Times New Roman" w:eastAsia="仿宋_GB2312" w:cs="Times New Roman"/>
                <w:sz w:val="32"/>
                <w:szCs w:val="32"/>
                <w:lang w:val="en-US" w:eastAsia="zh-CN"/>
              </w:rPr>
              <w:t>本项</w:t>
            </w:r>
            <w:r>
              <w:rPr>
                <w:rFonts w:hint="default" w:ascii="Times New Roman" w:hAnsi="Times New Roman" w:eastAsia="仿宋_GB2312" w:cs="Times New Roman"/>
                <w:sz w:val="32"/>
                <w:szCs w:val="32"/>
                <w:lang w:val="en-US" w:eastAsia="zh-CN"/>
              </w:rPr>
              <w:t>最高得</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分；</w:t>
            </w:r>
          </w:p>
          <w:p>
            <w:pPr>
              <w:pStyle w:val="2"/>
              <w:keepNext w:val="0"/>
              <w:keepLines w:val="0"/>
              <w:pageBreakBefore w:val="0"/>
              <w:numPr>
                <w:ilvl w:val="0"/>
                <w:numId w:val="0"/>
              </w:numPr>
              <w:kinsoku/>
              <w:wordWrap/>
              <w:overflowPunct/>
              <w:topLinePunct w:val="0"/>
              <w:autoSpaceDE/>
              <w:autoSpaceDN/>
              <w:bidi w:val="0"/>
              <w:spacing w:beforeAutospacing="0" w:afterAutospacing="0" w:line="540" w:lineRule="exact"/>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企业自</w:t>
            </w:r>
            <w:r>
              <w:rPr>
                <w:rFonts w:hint="default" w:ascii="Times New Roman" w:hAnsi="Times New Roman" w:eastAsia="仿宋_GB2312" w:cs="Times New Roman"/>
                <w:sz w:val="32"/>
                <w:szCs w:val="32"/>
                <w:lang w:val="en-US" w:eastAsia="zh-CN"/>
              </w:rPr>
              <w:t>2020</w:t>
            </w:r>
            <w:r>
              <w:rPr>
                <w:rFonts w:hint="eastAsia" w:eastAsia="仿宋_GB2312" w:cs="Times New Roman"/>
                <w:sz w:val="32"/>
                <w:szCs w:val="32"/>
                <w:lang w:val="en-US" w:eastAsia="zh-CN"/>
              </w:rPr>
              <w:t>年以来荣获市级颁发的招标代理先进单位荣誉的，每有一项得</w:t>
            </w:r>
            <w:r>
              <w:rPr>
                <w:rFonts w:hint="default" w:ascii="Times New Roman" w:hAnsi="Times New Roman" w:eastAsia="仿宋_GB2312" w:cs="Times New Roman"/>
                <w:sz w:val="32"/>
                <w:szCs w:val="32"/>
                <w:lang w:val="en-US" w:eastAsia="zh-CN"/>
              </w:rPr>
              <w:t>1分，</w:t>
            </w:r>
            <w:r>
              <w:rPr>
                <w:rFonts w:hint="eastAsia" w:ascii="Times New Roman" w:eastAsia="仿宋_GB2312" w:cs="Times New Roman"/>
                <w:sz w:val="32"/>
                <w:szCs w:val="32"/>
                <w:lang w:val="en-US" w:eastAsia="zh-CN"/>
              </w:rPr>
              <w:t>本项</w:t>
            </w:r>
            <w:r>
              <w:rPr>
                <w:rFonts w:hint="default" w:ascii="Times New Roman" w:hAnsi="Times New Roman" w:eastAsia="仿宋_GB2312" w:cs="Times New Roman"/>
                <w:sz w:val="32"/>
                <w:szCs w:val="32"/>
                <w:lang w:val="en-US" w:eastAsia="zh-CN"/>
              </w:rPr>
              <w:t>最高得3分</w:t>
            </w:r>
            <w:r>
              <w:rPr>
                <w:rFonts w:hint="eastAsia" w:eastAsia="仿宋_GB2312" w:cs="Times New Roman"/>
                <w:sz w:val="32"/>
                <w:szCs w:val="32"/>
                <w:lang w:val="en-US" w:eastAsia="zh-CN"/>
              </w:rPr>
              <w:t>；</w:t>
            </w:r>
          </w:p>
          <w:p>
            <w:pPr>
              <w:pStyle w:val="5"/>
              <w:keepNext w:val="0"/>
              <w:keepLines w:val="0"/>
              <w:pageBreakBefore w:val="0"/>
              <w:kinsoku/>
              <w:wordWrap/>
              <w:overflowPunct/>
              <w:topLinePunct w:val="0"/>
              <w:autoSpaceDE/>
              <w:autoSpaceDN/>
              <w:bidi w:val="0"/>
              <w:spacing w:beforeAutospacing="0" w:after="0" w:afterAutospacing="0" w:line="540" w:lineRule="exact"/>
              <w:ind w:left="0" w:leftChars="0" w:firstLine="0" w:firstLineChars="0"/>
              <w:jc w:val="both"/>
              <w:textAlignment w:val="auto"/>
              <w:rPr>
                <w:rFonts w:hint="default"/>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企业</w:t>
            </w:r>
            <w:r>
              <w:rPr>
                <w:rFonts w:hint="eastAsia" w:ascii="Times New Roman" w:hAnsi="Times New Roman" w:eastAsia="仿宋_GB2312" w:cs="Times New Roman"/>
                <w:sz w:val="32"/>
                <w:szCs w:val="32"/>
                <w:lang w:val="en-US" w:eastAsia="zh-CN"/>
              </w:rPr>
              <w:t>有独立办公场所，面积在1200m²（含）以上的</w:t>
            </w:r>
            <w:r>
              <w:rPr>
                <w:rFonts w:hint="default" w:ascii="Times New Roman" w:hAnsi="Times New Roman" w:eastAsia="仿宋_GB2312" w:cs="Times New Roman"/>
                <w:sz w:val="32"/>
                <w:szCs w:val="32"/>
                <w:lang w:val="en-US" w:eastAsia="zh-CN"/>
              </w:rPr>
              <w:t>得3分</w:t>
            </w:r>
            <w:r>
              <w:rPr>
                <w:rFonts w:hint="eastAsia" w:eastAsia="仿宋_GB2312" w:cs="Times New Roman"/>
                <w:sz w:val="32"/>
                <w:szCs w:val="32"/>
                <w:lang w:val="en-US" w:eastAsia="zh-CN"/>
              </w:rPr>
              <w:t>（办公地点与注册地址应保持一致，需提供租房合同或房屋产权证明复印件并加盖公章）</w:t>
            </w:r>
            <w:r>
              <w:rPr>
                <w:rFonts w:hint="eastAsia" w:ascii="Times New Roman" w:hAnsi="Times New Roman" w:eastAsia="仿宋_GB2312" w:cs="Times New Roman"/>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8" w:type="dxa"/>
            <w:tcMar>
              <w:top w:w="0" w:type="dxa"/>
              <w:left w:w="0" w:type="dxa"/>
              <w:bottom w:w="0" w:type="dxa"/>
              <w:right w:w="0" w:type="dxa"/>
            </w:tcMar>
            <w:vAlign w:val="center"/>
          </w:tcPr>
          <w:p>
            <w:pPr>
              <w:pageBreakBefore w:val="0"/>
              <w:kinsoku/>
              <w:wordWrap/>
              <w:overflowPunct/>
              <w:topLinePunct w:val="0"/>
              <w:bidi w:val="0"/>
              <w:adjustRightInd w:val="0"/>
              <w:snapToGrid w:val="0"/>
              <w:spacing w:line="540" w:lineRule="exact"/>
              <w:ind w:left="0" w:leftChars="0" w:right="0" w:right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tc>
        <w:tc>
          <w:tcPr>
            <w:tcW w:w="1405" w:type="dxa"/>
            <w:tcMar>
              <w:top w:w="0" w:type="dxa"/>
              <w:left w:w="0" w:type="dxa"/>
              <w:bottom w:w="0" w:type="dxa"/>
              <w:right w:w="0" w:type="dxa"/>
            </w:tcMar>
            <w:vAlign w:val="center"/>
          </w:tcPr>
          <w:p>
            <w:pPr>
              <w:pageBreakBefore w:val="0"/>
              <w:widowControl/>
              <w:numPr>
                <w:ilvl w:val="0"/>
                <w:numId w:val="0"/>
              </w:numPr>
              <w:kinsoku/>
              <w:wordWrap/>
              <w:overflowPunct/>
              <w:topLinePunct w:val="0"/>
              <w:bidi w:val="0"/>
              <w:adjustRightInd w:val="0"/>
              <w:snapToGrid w:val="0"/>
              <w:spacing w:line="540" w:lineRule="exact"/>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pPr>
              <w:pageBreakBefore w:val="0"/>
              <w:widowControl/>
              <w:numPr>
                <w:ilvl w:val="0"/>
                <w:numId w:val="0"/>
              </w:numPr>
              <w:kinsoku/>
              <w:wordWrap/>
              <w:overflowPunct/>
              <w:topLinePunct w:val="0"/>
              <w:bidi w:val="0"/>
              <w:adjustRightInd w:val="0"/>
              <w:snapToGrid w:val="0"/>
              <w:spacing w:line="540" w:lineRule="exact"/>
              <w:ind w:leftChars="0" w:right="0" w:rightChars="0"/>
              <w:jc w:val="both"/>
              <w:rPr>
                <w:rFonts w:hint="default" w:eastAsia="仿宋_GB2312" w:cs="Times New Roman"/>
                <w:sz w:val="32"/>
                <w:szCs w:val="32"/>
                <w:lang w:val="en-US" w:eastAsia="zh-CN"/>
              </w:rPr>
            </w:pPr>
            <w:r>
              <w:rPr>
                <w:rFonts w:hint="eastAsia" w:eastAsia="仿宋_GB2312" w:cs="Times New Roman"/>
                <w:sz w:val="32"/>
                <w:szCs w:val="32"/>
                <w:lang w:val="en-US" w:eastAsia="zh-CN"/>
              </w:rPr>
              <w:t>1.</w:t>
            </w:r>
            <w:r>
              <w:rPr>
                <w:rFonts w:hint="default" w:eastAsia="仿宋_GB2312" w:cs="Times New Roman"/>
                <w:sz w:val="32"/>
                <w:szCs w:val="32"/>
                <w:lang w:val="en-US" w:eastAsia="zh-CN"/>
              </w:rPr>
              <w:t>近</w:t>
            </w:r>
            <w:r>
              <w:rPr>
                <w:rFonts w:hint="eastAsia" w:eastAsia="仿宋_GB2312" w:cs="Times New Roman"/>
                <w:sz w:val="32"/>
                <w:szCs w:val="32"/>
                <w:lang w:val="en-US" w:eastAsia="zh-CN"/>
              </w:rPr>
              <w:t>5</w:t>
            </w:r>
            <w:r>
              <w:rPr>
                <w:rFonts w:hint="default" w:eastAsia="仿宋_GB2312" w:cs="Times New Roman"/>
                <w:sz w:val="32"/>
                <w:szCs w:val="32"/>
                <w:lang w:val="en-US" w:eastAsia="zh-CN"/>
              </w:rPr>
              <w:t>年来承接过</w:t>
            </w:r>
            <w:r>
              <w:rPr>
                <w:rFonts w:hint="eastAsia" w:eastAsia="仿宋_GB2312" w:cs="Times New Roman"/>
                <w:sz w:val="32"/>
                <w:szCs w:val="32"/>
                <w:lang w:val="en-US" w:eastAsia="zh-CN"/>
              </w:rPr>
              <w:t>工程类勘察设计</w:t>
            </w:r>
            <w:r>
              <w:rPr>
                <w:rFonts w:hint="default" w:eastAsia="仿宋_GB2312" w:cs="Times New Roman"/>
                <w:sz w:val="32"/>
                <w:szCs w:val="32"/>
                <w:lang w:val="en-US" w:eastAsia="zh-CN"/>
              </w:rPr>
              <w:t>招标代理服务每提供一项得</w:t>
            </w:r>
            <w:r>
              <w:rPr>
                <w:rFonts w:hint="eastAsia" w:eastAsia="仿宋_GB2312" w:cs="Times New Roman"/>
                <w:sz w:val="32"/>
                <w:szCs w:val="32"/>
                <w:lang w:val="en-US" w:eastAsia="zh-CN"/>
              </w:rPr>
              <w:t>2</w:t>
            </w:r>
            <w:r>
              <w:rPr>
                <w:rFonts w:hint="default" w:eastAsia="仿宋_GB2312" w:cs="Times New Roman"/>
                <w:sz w:val="32"/>
                <w:szCs w:val="32"/>
                <w:lang w:val="en-US" w:eastAsia="zh-CN"/>
              </w:rPr>
              <w:t>分，本项最高得</w:t>
            </w:r>
            <w:r>
              <w:rPr>
                <w:rFonts w:hint="eastAsia" w:eastAsia="仿宋_GB2312" w:cs="Times New Roman"/>
                <w:sz w:val="32"/>
                <w:szCs w:val="32"/>
                <w:lang w:val="en-US" w:eastAsia="zh-CN"/>
              </w:rPr>
              <w:t>8</w:t>
            </w:r>
            <w:r>
              <w:rPr>
                <w:rFonts w:hint="default" w:eastAsia="仿宋_GB2312" w:cs="Times New Roman"/>
                <w:sz w:val="32"/>
                <w:szCs w:val="32"/>
                <w:lang w:val="en-US" w:eastAsia="zh-CN"/>
              </w:rPr>
              <w:t>分</w:t>
            </w:r>
            <w:r>
              <w:rPr>
                <w:rFonts w:hint="eastAsia" w:eastAsia="仿宋_GB2312" w:cs="Times New Roman"/>
                <w:sz w:val="32"/>
                <w:szCs w:val="32"/>
                <w:lang w:val="en-US" w:eastAsia="zh-CN"/>
              </w:rPr>
              <w:t>；</w:t>
            </w:r>
          </w:p>
          <w:p>
            <w:pPr>
              <w:pageBreakBefore w:val="0"/>
              <w:widowControl/>
              <w:numPr>
                <w:ilvl w:val="0"/>
                <w:numId w:val="0"/>
              </w:numPr>
              <w:kinsoku/>
              <w:wordWrap/>
              <w:overflowPunct/>
              <w:topLinePunct w:val="0"/>
              <w:bidi w:val="0"/>
              <w:adjustRightInd w:val="0"/>
              <w:snapToGrid w:val="0"/>
              <w:spacing w:line="540" w:lineRule="exact"/>
              <w:ind w:leftChars="0" w:right="0" w:rightChars="0"/>
              <w:jc w:val="both"/>
              <w:rPr>
                <w:rFonts w:hint="default" w:eastAsia="仿宋_GB2312" w:cs="Times New Roman"/>
                <w:sz w:val="32"/>
                <w:szCs w:val="32"/>
                <w:lang w:val="en-US" w:eastAsia="zh-CN"/>
              </w:rPr>
            </w:pPr>
            <w:r>
              <w:rPr>
                <w:rFonts w:hint="eastAsia" w:eastAsia="仿宋_GB2312" w:cs="Times New Roman"/>
                <w:sz w:val="32"/>
                <w:szCs w:val="32"/>
                <w:lang w:val="en-US" w:eastAsia="zh-CN"/>
              </w:rPr>
              <w:t>2.</w:t>
            </w:r>
            <w:r>
              <w:rPr>
                <w:rFonts w:hint="default" w:eastAsia="仿宋_GB2312" w:cs="Times New Roman"/>
                <w:sz w:val="32"/>
                <w:szCs w:val="32"/>
                <w:lang w:val="en-US" w:eastAsia="zh-CN"/>
              </w:rPr>
              <w:t>近</w:t>
            </w:r>
            <w:r>
              <w:rPr>
                <w:rFonts w:hint="eastAsia" w:eastAsia="仿宋_GB2312" w:cs="Times New Roman"/>
                <w:sz w:val="32"/>
                <w:szCs w:val="32"/>
                <w:lang w:val="en-US" w:eastAsia="zh-CN"/>
              </w:rPr>
              <w:t>5</w:t>
            </w:r>
            <w:r>
              <w:rPr>
                <w:rFonts w:hint="default" w:eastAsia="仿宋_GB2312" w:cs="Times New Roman"/>
                <w:sz w:val="32"/>
                <w:szCs w:val="32"/>
                <w:lang w:val="en-US" w:eastAsia="zh-CN"/>
              </w:rPr>
              <w:t>年来承接过</w:t>
            </w:r>
            <w:r>
              <w:rPr>
                <w:rFonts w:hint="eastAsia" w:eastAsia="仿宋_GB2312" w:cs="Times New Roman"/>
                <w:sz w:val="32"/>
                <w:szCs w:val="32"/>
                <w:lang w:val="en-US" w:eastAsia="zh-CN"/>
              </w:rPr>
              <w:t>工程类</w:t>
            </w:r>
            <w:r>
              <w:rPr>
                <w:rFonts w:hint="default" w:eastAsia="仿宋_GB2312" w:cs="Times New Roman"/>
                <w:sz w:val="32"/>
                <w:szCs w:val="32"/>
                <w:lang w:val="en-US" w:eastAsia="zh-CN"/>
              </w:rPr>
              <w:t>招标代理服务</w:t>
            </w:r>
            <w:r>
              <w:rPr>
                <w:rFonts w:hint="eastAsia" w:eastAsia="仿宋_GB2312" w:cs="Times New Roman"/>
                <w:sz w:val="32"/>
                <w:szCs w:val="32"/>
                <w:lang w:val="en-US" w:eastAsia="zh-CN"/>
              </w:rPr>
              <w:t>金额在2000万元以上的一项得3分</w:t>
            </w:r>
            <w:r>
              <w:rPr>
                <w:rFonts w:hint="default" w:eastAsia="仿宋_GB2312" w:cs="Times New Roman"/>
                <w:sz w:val="32"/>
                <w:szCs w:val="32"/>
                <w:lang w:val="en-US" w:eastAsia="zh-CN"/>
              </w:rPr>
              <w:t>，本项最高得</w:t>
            </w:r>
            <w:r>
              <w:rPr>
                <w:rFonts w:hint="eastAsia" w:eastAsia="仿宋_GB2312" w:cs="Times New Roman"/>
                <w:sz w:val="32"/>
                <w:szCs w:val="32"/>
                <w:lang w:val="en-US" w:eastAsia="zh-CN"/>
              </w:rPr>
              <w:t>12</w:t>
            </w:r>
            <w:r>
              <w:rPr>
                <w:rFonts w:hint="default" w:eastAsia="仿宋_GB2312" w:cs="Times New Roman"/>
                <w:sz w:val="32"/>
                <w:szCs w:val="32"/>
                <w:lang w:val="en-US" w:eastAsia="zh-CN"/>
              </w:rPr>
              <w:t>分</w:t>
            </w:r>
          </w:p>
          <w:p>
            <w:pPr>
              <w:pageBreakBefore w:val="0"/>
              <w:widowControl/>
              <w:numPr>
                <w:ilvl w:val="0"/>
                <w:numId w:val="0"/>
              </w:numPr>
              <w:kinsoku/>
              <w:wordWrap/>
              <w:overflowPunct/>
              <w:topLinePunct w:val="0"/>
              <w:bidi w:val="0"/>
              <w:adjustRightInd w:val="0"/>
              <w:snapToGrid w:val="0"/>
              <w:spacing w:line="540" w:lineRule="exact"/>
              <w:ind w:leftChars="0" w:right="0" w:rightChars="0"/>
              <w:jc w:val="both"/>
              <w:rPr>
                <w:rFonts w:hint="default"/>
                <w:lang w:val="en-US" w:eastAsia="zh-CN"/>
              </w:rPr>
            </w:pPr>
            <w:r>
              <w:rPr>
                <w:rFonts w:hint="eastAsia" w:eastAsia="仿宋_GB2312" w:cs="Times New Roman"/>
                <w:sz w:val="32"/>
                <w:szCs w:val="32"/>
                <w:lang w:val="en-US" w:eastAsia="zh-CN"/>
              </w:rPr>
              <w:t>（需提供网上中标结果公示、中标通知书、中标合同、申请文件中附复印件并加盖公章）。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tcMar>
              <w:top w:w="0" w:type="dxa"/>
              <w:left w:w="0" w:type="dxa"/>
              <w:bottom w:w="0" w:type="dxa"/>
              <w:right w:w="0" w:type="dxa"/>
            </w:tcMar>
            <w:vAlign w:val="center"/>
          </w:tcPr>
          <w:p>
            <w:pPr>
              <w:pageBreakBefore w:val="0"/>
              <w:kinsoku/>
              <w:wordWrap/>
              <w:overflowPunct/>
              <w:topLinePunct w:val="0"/>
              <w:bidi w:val="0"/>
              <w:adjustRightInd w:val="0"/>
              <w:snapToGrid w:val="0"/>
              <w:spacing w:line="540" w:lineRule="exact"/>
              <w:ind w:left="0" w:leftChars="0" w:right="0" w:right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人员配置</w:t>
            </w:r>
          </w:p>
        </w:tc>
        <w:tc>
          <w:tcPr>
            <w:tcW w:w="1405" w:type="dxa"/>
            <w:tcMar>
              <w:top w:w="0" w:type="dxa"/>
              <w:left w:w="0" w:type="dxa"/>
              <w:bottom w:w="0" w:type="dxa"/>
              <w:right w:w="0" w:type="dxa"/>
            </w:tcMar>
            <w:vAlign w:val="center"/>
          </w:tcPr>
          <w:p>
            <w:pPr>
              <w:pageBreakBefore w:val="0"/>
              <w:widowControl/>
              <w:numPr>
                <w:ilvl w:val="0"/>
                <w:numId w:val="0"/>
              </w:numPr>
              <w:kinsoku/>
              <w:wordWrap/>
              <w:overflowPunct/>
              <w:topLinePunct w:val="0"/>
              <w:bidi w:val="0"/>
              <w:adjustRightInd w:val="0"/>
              <w:snapToGrid w:val="0"/>
              <w:spacing w:line="540" w:lineRule="exact"/>
              <w:ind w:left="0" w:leftChars="0" w:right="0" w:rightChars="0"/>
              <w:jc w:val="center"/>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分</w:t>
            </w:r>
          </w:p>
        </w:tc>
        <w:tc>
          <w:tcPr>
            <w:tcW w:w="6786" w:type="dxa"/>
            <w:tcMar>
              <w:top w:w="0" w:type="dxa"/>
              <w:left w:w="0" w:type="dxa"/>
              <w:bottom w:w="0" w:type="dxa"/>
              <w:right w:w="0" w:type="dxa"/>
            </w:tcMar>
            <w:vAlign w:val="center"/>
          </w:tcPr>
          <w:p>
            <w:pPr>
              <w:pageBreakBefore w:val="0"/>
              <w:widowControl/>
              <w:kinsoku/>
              <w:wordWrap/>
              <w:overflowPunct/>
              <w:topLinePunct w:val="0"/>
              <w:bidi w:val="0"/>
              <w:adjustRightInd w:val="0"/>
              <w:snapToGrid w:val="0"/>
              <w:spacing w:line="540" w:lineRule="exact"/>
              <w:ind w:left="0" w:leftChars="0" w:right="0" w:rightChars="0"/>
              <w:jc w:val="both"/>
              <w:rPr>
                <w:rFonts w:hint="eastAsia" w:ascii="Times New Roman" w:hAnsi="Times New Roman" w:eastAsia="仿宋_GB2312" w:cs="Times New Roman"/>
                <w:sz w:val="32"/>
                <w:szCs w:val="32"/>
                <w:lang w:val="zh-CN"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项目负责人</w:t>
            </w:r>
            <w:r>
              <w:rPr>
                <w:rFonts w:hint="default" w:ascii="Times New Roman" w:hAnsi="Times New Roman" w:eastAsia="仿宋_GB2312" w:cs="Times New Roman"/>
                <w:sz w:val="32"/>
                <w:szCs w:val="32"/>
                <w:lang w:val="zh-CN"/>
              </w:rPr>
              <w:t>具有中级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zh-CN"/>
              </w:rPr>
              <w:t>分，具有</w:t>
            </w:r>
            <w:r>
              <w:rPr>
                <w:rFonts w:hint="eastAsia" w:eastAsia="仿宋_GB2312" w:cs="Times New Roman"/>
                <w:sz w:val="32"/>
                <w:szCs w:val="32"/>
                <w:lang w:val="en-US" w:eastAsia="zh-CN"/>
              </w:rPr>
              <w:t>招标师证书</w:t>
            </w:r>
            <w:r>
              <w:rPr>
                <w:rFonts w:hint="default" w:ascii="Times New Roman" w:hAnsi="Times New Roman" w:eastAsia="仿宋_GB2312" w:cs="Times New Roman"/>
                <w:sz w:val="32"/>
                <w:szCs w:val="32"/>
                <w:lang w:val="zh-CN"/>
              </w:rPr>
              <w:t>得</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zh-CN"/>
              </w:rPr>
              <w:t>分</w:t>
            </w:r>
            <w:r>
              <w:rPr>
                <w:rFonts w:hint="eastAsia" w:eastAsia="仿宋_GB2312" w:cs="Times New Roman"/>
                <w:sz w:val="32"/>
                <w:szCs w:val="32"/>
                <w:lang w:val="zh-CN"/>
              </w:rPr>
              <w:t>，</w:t>
            </w:r>
            <w:r>
              <w:rPr>
                <w:rFonts w:hint="default" w:eastAsia="仿宋_GB2312" w:cs="Times New Roman"/>
                <w:sz w:val="32"/>
                <w:szCs w:val="32"/>
                <w:lang w:val="en-US" w:eastAsia="zh-CN"/>
              </w:rPr>
              <w:t>本项最高得</w:t>
            </w:r>
            <w:r>
              <w:rPr>
                <w:rFonts w:hint="eastAsia" w:eastAsia="仿宋_GB2312" w:cs="Times New Roman"/>
                <w:sz w:val="32"/>
                <w:szCs w:val="32"/>
                <w:lang w:val="en-US" w:eastAsia="zh-CN"/>
              </w:rPr>
              <w:t>4</w:t>
            </w:r>
            <w:r>
              <w:rPr>
                <w:rFonts w:hint="default" w:eastAsia="仿宋_GB2312" w:cs="Times New Roman"/>
                <w:sz w:val="32"/>
                <w:szCs w:val="32"/>
                <w:lang w:val="en-US" w:eastAsia="zh-CN"/>
              </w:rPr>
              <w:t>分</w:t>
            </w:r>
            <w:r>
              <w:rPr>
                <w:rFonts w:hint="eastAsia" w:ascii="Times New Roman" w:hAnsi="Times New Roman" w:eastAsia="仿宋_GB2312" w:cs="Times New Roman"/>
                <w:sz w:val="32"/>
                <w:szCs w:val="32"/>
                <w:lang w:val="zh-CN" w:eastAsia="zh-CN"/>
              </w:rPr>
              <w:t>；</w:t>
            </w:r>
          </w:p>
          <w:p>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eastAsia" w:eastAsia="仿宋_GB2312" w:cs="Times New Roman"/>
                <w:sz w:val="32"/>
                <w:szCs w:val="32"/>
                <w:lang w:val="en-US" w:eastAsia="zh-CN"/>
              </w:rPr>
              <w:t>2.项目组人员中除项目负责人外，其他人员</w:t>
            </w:r>
            <w:r>
              <w:rPr>
                <w:rFonts w:hint="eastAsia" w:ascii="Times New Roman" w:hAnsi="Times New Roman" w:eastAsia="仿宋_GB2312" w:cs="Times New Roman"/>
                <w:sz w:val="32"/>
                <w:szCs w:val="32"/>
                <w:lang w:val="zh-CN"/>
              </w:rPr>
              <w:t>具有</w:t>
            </w:r>
            <w:r>
              <w:rPr>
                <w:rFonts w:hint="eastAsia" w:eastAsia="仿宋_GB2312" w:cs="Times New Roman"/>
                <w:sz w:val="32"/>
                <w:szCs w:val="32"/>
                <w:lang w:val="en-US" w:eastAsia="zh-CN"/>
              </w:rPr>
              <w:t>高级职称的招标代理人一人得1分，本项最高得5分；</w:t>
            </w:r>
          </w:p>
          <w:p>
            <w:pPr>
              <w:pageBreakBefore w:val="0"/>
              <w:widowControl/>
              <w:kinsoku/>
              <w:wordWrap/>
              <w:overflowPunct/>
              <w:topLinePunct w:val="0"/>
              <w:bidi w:val="0"/>
              <w:adjustRightInd w:val="0"/>
              <w:snapToGrid w:val="0"/>
              <w:spacing w:line="540" w:lineRule="exact"/>
              <w:ind w:left="0" w:leftChars="0" w:right="0" w:rightChars="0"/>
              <w:jc w:val="both"/>
              <w:rPr>
                <w:rFonts w:hint="default" w:eastAsia="仿宋_GB2312" w:cs="Times New Roman"/>
                <w:sz w:val="32"/>
                <w:szCs w:val="32"/>
                <w:lang w:val="en-US" w:eastAsia="zh-CN"/>
              </w:rPr>
            </w:pPr>
            <w:r>
              <w:rPr>
                <w:rFonts w:hint="eastAsia" w:eastAsia="仿宋_GB2312" w:cs="Times New Roman"/>
                <w:sz w:val="32"/>
                <w:szCs w:val="32"/>
                <w:lang w:val="en-US" w:eastAsia="zh-CN"/>
              </w:rPr>
              <w:t>3.项目组人员中除项目负责人外，其他人员</w:t>
            </w:r>
            <w:r>
              <w:rPr>
                <w:rFonts w:hint="eastAsia" w:ascii="Times New Roman" w:hAnsi="Times New Roman" w:eastAsia="仿宋_GB2312" w:cs="Times New Roman"/>
                <w:sz w:val="32"/>
                <w:szCs w:val="32"/>
                <w:lang w:val="zh-CN"/>
              </w:rPr>
              <w:t>具有</w:t>
            </w:r>
            <w:r>
              <w:rPr>
                <w:rFonts w:hint="eastAsia" w:eastAsia="仿宋_GB2312" w:cs="Times New Roman"/>
                <w:sz w:val="32"/>
                <w:szCs w:val="32"/>
                <w:lang w:val="en-US" w:eastAsia="zh-CN"/>
              </w:rPr>
              <w:t>招标师证书的招标人员一人得2分，</w:t>
            </w:r>
            <w:r>
              <w:rPr>
                <w:rFonts w:hint="default" w:eastAsia="仿宋_GB2312" w:cs="Times New Roman"/>
                <w:sz w:val="32"/>
                <w:szCs w:val="32"/>
                <w:lang w:val="en-US" w:eastAsia="zh-CN"/>
              </w:rPr>
              <w:t>本项最高得</w:t>
            </w:r>
            <w:r>
              <w:rPr>
                <w:rFonts w:hint="eastAsia" w:eastAsia="仿宋_GB2312" w:cs="Times New Roman"/>
                <w:sz w:val="32"/>
                <w:szCs w:val="32"/>
                <w:lang w:val="en-US" w:eastAsia="zh-CN"/>
              </w:rPr>
              <w:t>6</w:t>
            </w:r>
            <w:r>
              <w:rPr>
                <w:rFonts w:hint="default" w:eastAsia="仿宋_GB2312" w:cs="Times New Roman"/>
                <w:sz w:val="32"/>
                <w:szCs w:val="32"/>
                <w:lang w:val="en-US" w:eastAsia="zh-CN"/>
              </w:rPr>
              <w:t>分</w:t>
            </w:r>
            <w:r>
              <w:rPr>
                <w:rFonts w:hint="eastAsia" w:eastAsia="仿宋_GB2312" w:cs="Times New Roman"/>
                <w:sz w:val="32"/>
                <w:szCs w:val="32"/>
                <w:lang w:val="en-US" w:eastAsia="zh-CN"/>
              </w:rPr>
              <w:t>；</w:t>
            </w:r>
          </w:p>
          <w:p>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zh-CN"/>
              </w:rPr>
            </w:pPr>
            <w:r>
              <w:rPr>
                <w:rFonts w:hint="eastAsia" w:eastAsia="仿宋_GB2312" w:cs="Times New Roman"/>
                <w:sz w:val="32"/>
                <w:szCs w:val="32"/>
                <w:lang w:val="en-US" w:eastAsia="zh-CN"/>
              </w:rPr>
              <w:t>4.项目负责人具有</w:t>
            </w:r>
            <w:r>
              <w:rPr>
                <w:rFonts w:hint="eastAsia" w:ascii="Times New Roman" w:hAnsi="Times New Roman" w:eastAsia="仿宋_GB2312" w:cs="Times New Roman"/>
                <w:sz w:val="32"/>
                <w:szCs w:val="32"/>
                <w:lang w:val="zh-CN"/>
              </w:rPr>
              <w:t>5年以上招投标工作经历的得</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rPr>
              <w:t>分，具有10年以上招投标工作经历的得</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rPr>
              <w:t>分</w:t>
            </w:r>
            <w:r>
              <w:rPr>
                <w:rFonts w:hint="eastAsia" w:eastAsia="仿宋_GB2312" w:cs="Times New Roman"/>
                <w:sz w:val="32"/>
                <w:szCs w:val="32"/>
                <w:lang w:val="zh-CN"/>
              </w:rPr>
              <w:t>（</w:t>
            </w:r>
            <w:r>
              <w:rPr>
                <w:rFonts w:hint="eastAsia" w:ascii="Times New Roman" w:hAnsi="Times New Roman" w:eastAsia="仿宋_GB2312" w:cs="Times New Roman"/>
                <w:sz w:val="32"/>
                <w:szCs w:val="32"/>
                <w:lang w:val="zh-CN"/>
              </w:rPr>
              <w:t>以取得招投标协会颁发的执业资格证书时间为准</w:t>
            </w:r>
            <w:r>
              <w:rPr>
                <w:rFonts w:hint="eastAsia" w:eastAsia="仿宋_GB2312" w:cs="Times New Roman"/>
                <w:sz w:val="32"/>
                <w:szCs w:val="32"/>
                <w:lang w:val="zh-CN"/>
              </w:rPr>
              <w:t>）。</w:t>
            </w:r>
          </w:p>
          <w:p>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 w:cs="Times New Roman"/>
                <w:sz w:val="32"/>
                <w:szCs w:val="32"/>
                <w:lang w:val="en-US" w:eastAsia="zh-CN"/>
              </w:rPr>
            </w:pPr>
            <w:r>
              <w:rPr>
                <w:rFonts w:hint="eastAsia" w:eastAsia="仿宋_GB2312" w:cs="Times New Roman"/>
                <w:sz w:val="32"/>
                <w:szCs w:val="32"/>
                <w:lang w:val="en-US" w:eastAsia="zh-CN"/>
              </w:rPr>
              <w:t>以上人员</w:t>
            </w:r>
            <w:r>
              <w:rPr>
                <w:rFonts w:hint="eastAsia" w:eastAsia="仿宋_GB2312" w:cs="Times New Roman"/>
                <w:color w:val="auto"/>
                <w:sz w:val="32"/>
                <w:szCs w:val="32"/>
                <w:lang w:val="en-US" w:eastAsia="zh-CN"/>
              </w:rPr>
              <w:t>均需提供聘用合同及半年以上的社保证明。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tcMar>
              <w:top w:w="0" w:type="dxa"/>
              <w:left w:w="0" w:type="dxa"/>
              <w:bottom w:w="0" w:type="dxa"/>
              <w:right w:w="0" w:type="dxa"/>
            </w:tcMar>
            <w:vAlign w:val="center"/>
          </w:tcPr>
          <w:p>
            <w:pPr>
              <w:pageBreakBefore w:val="0"/>
              <w:kinsoku/>
              <w:wordWrap/>
              <w:overflowPunct/>
              <w:topLinePunct w:val="0"/>
              <w:bidi w:val="0"/>
              <w:adjustRightInd w:val="0"/>
              <w:snapToGrid w:val="0"/>
              <w:spacing w:line="540" w:lineRule="exact"/>
              <w:ind w:left="0" w:leftChars="0" w:right="0" w:right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服务效率</w:t>
            </w:r>
          </w:p>
        </w:tc>
        <w:tc>
          <w:tcPr>
            <w:tcW w:w="1405" w:type="dxa"/>
            <w:tcMar>
              <w:top w:w="0" w:type="dxa"/>
              <w:left w:w="0" w:type="dxa"/>
              <w:bottom w:w="0" w:type="dxa"/>
              <w:right w:w="0" w:type="dxa"/>
            </w:tcMar>
            <w:vAlign w:val="center"/>
          </w:tcPr>
          <w:p>
            <w:pPr>
              <w:pageBreakBefore w:val="0"/>
              <w:widowControl/>
              <w:numPr>
                <w:ilvl w:val="0"/>
                <w:numId w:val="0"/>
              </w:numPr>
              <w:kinsoku/>
              <w:wordWrap/>
              <w:overflowPunct/>
              <w:topLinePunct w:val="0"/>
              <w:bidi w:val="0"/>
              <w:adjustRightInd w:val="0"/>
              <w:snapToGrid w:val="0"/>
              <w:spacing w:line="540" w:lineRule="exact"/>
              <w:ind w:left="0" w:leftChars="0" w:right="0" w:rightChars="0"/>
              <w:jc w:val="center"/>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分</w:t>
            </w:r>
          </w:p>
        </w:tc>
        <w:tc>
          <w:tcPr>
            <w:tcW w:w="6786" w:type="dxa"/>
            <w:tcMar>
              <w:top w:w="0" w:type="dxa"/>
              <w:left w:w="0" w:type="dxa"/>
              <w:bottom w:w="0" w:type="dxa"/>
              <w:right w:w="0" w:type="dxa"/>
            </w:tcMar>
            <w:vAlign w:val="center"/>
          </w:tcPr>
          <w:p>
            <w:pPr>
              <w:pageBreakBefore w:val="0"/>
              <w:widowControl/>
              <w:numPr>
                <w:ilvl w:val="0"/>
                <w:numId w:val="0"/>
              </w:numPr>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 w:cs="Times New Roman"/>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承诺按照招标人要求编制完成招标文件得</w:t>
            </w:r>
            <w:r>
              <w:rPr>
                <w:rFonts w:hint="default" w:ascii="Times New Roman" w:hAnsi="Times New Roman" w:eastAsia="仿宋_GB2312" w:cs="Times New Roman"/>
                <w:color w:val="auto"/>
                <w:kern w:val="0"/>
                <w:sz w:val="32"/>
                <w:szCs w:val="32"/>
                <w:lang w:val="en-US" w:eastAsia="zh-CN"/>
              </w:rPr>
              <w:t>5</w:t>
            </w:r>
            <w:r>
              <w:rPr>
                <w:rFonts w:hint="eastAsia" w:ascii="仿宋_GB2312" w:hAnsi="仿宋_GB2312" w:eastAsia="仿宋_GB2312" w:cs="仿宋_GB2312"/>
                <w:color w:val="auto"/>
                <w:kern w:val="0"/>
                <w:sz w:val="32"/>
                <w:szCs w:val="32"/>
                <w:lang w:val="en-US" w:eastAsia="zh-CN"/>
              </w:rPr>
              <w:t>分，不承诺不得分。</w:t>
            </w:r>
          </w:p>
        </w:tc>
      </w:tr>
    </w:tbl>
    <w:p>
      <w:pPr>
        <w:pStyle w:val="2"/>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3</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firstLine="0" w:firstLineChars="0"/>
        <w:contextualSpacing/>
        <w:jc w:val="center"/>
        <w:textAlignment w:val="auto"/>
        <w:outlineLvl w:val="9"/>
        <w:rPr>
          <w:rFonts w:hint="eastAsia" w:ascii="方正小标宋简体" w:hAnsi="方正小标宋简体" w:eastAsia="方正小标宋简体" w:cs="方正小标宋简体"/>
          <w:b w:val="0"/>
          <w:bCs/>
          <w:sz w:val="44"/>
          <w:szCs w:val="44"/>
          <w:lang w:val="zh-CN"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firstLine="0" w:firstLineChars="0"/>
        <w:contextualSpacing/>
        <w:jc w:val="center"/>
        <w:textAlignment w:val="auto"/>
        <w:outlineLvl w:val="9"/>
        <w:rPr>
          <w:rFonts w:hint="eastAsia" w:ascii="方正小标宋简体" w:hAnsi="方正小标宋简体" w:eastAsia="方正小标宋简体" w:cs="方正小标宋简体"/>
          <w:b w:val="0"/>
          <w:bCs/>
          <w:sz w:val="44"/>
          <w:szCs w:val="44"/>
          <w:lang w:val="zh-CN" w:eastAsia="zh-CN"/>
        </w:rPr>
      </w:pPr>
      <w:r>
        <w:rPr>
          <w:rFonts w:hint="eastAsia" w:ascii="方正小标宋简体" w:hAnsi="方正小标宋简体" w:eastAsia="方正小标宋简体" w:cs="方正小标宋简体"/>
          <w:b w:val="0"/>
          <w:bCs/>
          <w:sz w:val="44"/>
          <w:szCs w:val="44"/>
          <w:lang w:val="zh-CN" w:eastAsia="zh-CN"/>
        </w:rPr>
        <w:t>廉洁自律承诺书</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firstLine="0" w:firstLineChars="0"/>
        <w:contextualSpacing/>
        <w:jc w:val="center"/>
        <w:textAlignment w:val="auto"/>
        <w:outlineLvl w:val="9"/>
        <w:rPr>
          <w:rFonts w:hint="default" w:ascii="方正小标宋简体" w:hAnsi="方正小标宋简体" w:eastAsia="方正小标宋简体" w:cs="方正小标宋简体"/>
          <w:b w:val="0"/>
          <w:bCs/>
          <w:sz w:val="44"/>
          <w:szCs w:val="44"/>
          <w:lang w:val="zh-CN" w:eastAsia="zh-CN"/>
        </w:rPr>
      </w:pPr>
    </w:p>
    <w:p>
      <w:pPr>
        <w:pStyle w:val="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0" w:firstLineChars="0"/>
        <w:textAlignment w:val="auto"/>
        <w:outlineLvl w:val="9"/>
        <w:rPr>
          <w:rFonts w:hint="default" w:eastAsia="仿宋_GB2312"/>
          <w:sz w:val="32"/>
          <w:szCs w:val="32"/>
          <w:lang w:eastAsia="zh-CN"/>
        </w:rPr>
      </w:pPr>
      <w:r>
        <w:rPr>
          <w:rFonts w:eastAsia="仿宋_GB2312"/>
          <w:sz w:val="32"/>
          <w:szCs w:val="32"/>
          <w:lang w:eastAsia="zh-CN"/>
        </w:rPr>
        <w:t>致：</w:t>
      </w:r>
      <w:r>
        <w:rPr>
          <w:rFonts w:hint="eastAsia" w:eastAsia="仿宋_GB2312"/>
          <w:sz w:val="32"/>
          <w:szCs w:val="32"/>
          <w:lang w:val="en-US" w:eastAsia="zh-CN"/>
        </w:rPr>
        <w:t xml:space="preserve">       </w:t>
      </w:r>
      <w:r>
        <w:rPr>
          <w:rFonts w:eastAsia="仿宋_GB2312"/>
          <w:sz w:val="32"/>
          <w:szCs w:val="32"/>
          <w:lang w:eastAsia="zh-CN"/>
        </w:rPr>
        <w:t>公司</w:t>
      </w:r>
    </w:p>
    <w:p>
      <w:pPr>
        <w:pStyle w:val="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640"/>
        <w:textAlignment w:val="auto"/>
        <w:outlineLvl w:val="9"/>
        <w:rPr>
          <w:rFonts w:eastAsia="仿宋_GB2312"/>
          <w:sz w:val="32"/>
          <w:szCs w:val="32"/>
          <w:lang w:eastAsia="zh-CN"/>
        </w:rPr>
      </w:pPr>
      <w:r>
        <w:rPr>
          <w:rFonts w:eastAsia="仿宋_GB2312"/>
          <w:sz w:val="32"/>
          <w:szCs w:val="32"/>
          <w:lang w:eastAsia="zh-CN"/>
        </w:rPr>
        <w:t>为了维护国家和集体利益，规范市场运作，保障正常、有序、合理、合法地开展经济活动，防止在经济活动中出现不正当交易等不廉洁行为的发生，我司郑重承诺不使用不正当手段妨碍、排挤相关投标单位或串通投标；不以任何方式向招标人员或评标人员赠送礼品、礼金或有价证券；不进行可能影响招标公平、公正的任何活动。</w:t>
      </w:r>
    </w:p>
    <w:p>
      <w:pPr>
        <w:pStyle w:val="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640"/>
        <w:textAlignment w:val="auto"/>
        <w:outlineLvl w:val="9"/>
        <w:rPr>
          <w:rFonts w:hint="default" w:eastAsia="仿宋_GB2312"/>
          <w:sz w:val="32"/>
          <w:szCs w:val="32"/>
          <w:lang w:val="en-US" w:eastAsia="zh-CN"/>
        </w:rPr>
      </w:pPr>
      <w:r>
        <w:rPr>
          <w:rFonts w:hint="eastAsia" w:eastAsia="仿宋_GB2312"/>
          <w:sz w:val="32"/>
          <w:szCs w:val="32"/>
          <w:lang w:val="en-US" w:eastAsia="zh-CN"/>
        </w:rPr>
        <w:t>特此承诺。</w:t>
      </w:r>
    </w:p>
    <w:p>
      <w:pPr>
        <w:pStyle w:val="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0" w:firstLineChars="0"/>
        <w:textAlignment w:val="auto"/>
        <w:outlineLvl w:val="9"/>
        <w:rPr>
          <w:rFonts w:hint="default" w:eastAsia="仿宋_GB2312"/>
          <w:sz w:val="32"/>
          <w:szCs w:val="32"/>
          <w:lang w:eastAsia="zh-CN"/>
        </w:rPr>
      </w:pPr>
      <w:r>
        <w:rPr>
          <w:rFonts w:eastAsia="仿宋_GB2312"/>
          <w:sz w:val="32"/>
          <w:szCs w:val="32"/>
          <w:lang w:eastAsia="zh-CN"/>
        </w:rPr>
        <w:t> </w:t>
      </w:r>
    </w:p>
    <w:p>
      <w:pPr>
        <w:pStyle w:val="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5440" w:firstLineChars="1700"/>
        <w:textAlignment w:val="auto"/>
        <w:outlineLvl w:val="9"/>
        <w:rPr>
          <w:rFonts w:hint="default" w:eastAsia="仿宋_GB2312"/>
          <w:sz w:val="32"/>
          <w:szCs w:val="32"/>
          <w:lang w:eastAsia="zh-CN"/>
        </w:rPr>
      </w:pPr>
      <w:r>
        <w:rPr>
          <w:rFonts w:eastAsia="仿宋_GB2312"/>
          <w:sz w:val="32"/>
          <w:szCs w:val="32"/>
          <w:lang w:eastAsia="zh-CN"/>
        </w:rPr>
        <w:t>单位名称（盖章）</w:t>
      </w:r>
    </w:p>
    <w:p>
      <w:pPr>
        <w:pStyle w:val="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420" w:right="0" w:rightChars="0" w:firstLine="5120" w:firstLineChars="1600"/>
        <w:textAlignment w:val="auto"/>
        <w:outlineLvl w:val="9"/>
        <w:rPr>
          <w:rFonts w:hint="default" w:eastAsia="仿宋_GB2312"/>
          <w:sz w:val="32"/>
          <w:szCs w:val="32"/>
          <w:lang w:eastAsia="zh-CN"/>
        </w:rPr>
      </w:pPr>
      <w:r>
        <w:rPr>
          <w:rFonts w:eastAsia="仿宋_GB2312"/>
          <w:sz w:val="32"/>
          <w:szCs w:val="32"/>
          <w:lang w:eastAsia="zh-CN"/>
        </w:rPr>
        <w:t>日期: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jEzNGNkMGY5Y2FkMWRmZGI1MDZmOWU2YjgwZjEifQ=="/>
  </w:docVars>
  <w:rsids>
    <w:rsidRoot w:val="00172A27"/>
    <w:rsid w:val="00270BE1"/>
    <w:rsid w:val="003532FE"/>
    <w:rsid w:val="01657C13"/>
    <w:rsid w:val="02571C51"/>
    <w:rsid w:val="033A76CC"/>
    <w:rsid w:val="03C54999"/>
    <w:rsid w:val="05760640"/>
    <w:rsid w:val="065A0AB0"/>
    <w:rsid w:val="07FF36BC"/>
    <w:rsid w:val="09B71227"/>
    <w:rsid w:val="0A2C0437"/>
    <w:rsid w:val="0BF4406D"/>
    <w:rsid w:val="0BFD4952"/>
    <w:rsid w:val="0C807FF6"/>
    <w:rsid w:val="0D3C7505"/>
    <w:rsid w:val="0DC161D1"/>
    <w:rsid w:val="0E116BEA"/>
    <w:rsid w:val="0F1958F7"/>
    <w:rsid w:val="100B7DD6"/>
    <w:rsid w:val="105C6685"/>
    <w:rsid w:val="117E16C8"/>
    <w:rsid w:val="11C03110"/>
    <w:rsid w:val="12771554"/>
    <w:rsid w:val="144A5A37"/>
    <w:rsid w:val="157306F8"/>
    <w:rsid w:val="163634D4"/>
    <w:rsid w:val="17A27CF6"/>
    <w:rsid w:val="19214A65"/>
    <w:rsid w:val="19E4002D"/>
    <w:rsid w:val="1C76287C"/>
    <w:rsid w:val="1C9A082F"/>
    <w:rsid w:val="1DB63878"/>
    <w:rsid w:val="1DC22489"/>
    <w:rsid w:val="1E6710C6"/>
    <w:rsid w:val="1FE30229"/>
    <w:rsid w:val="20647678"/>
    <w:rsid w:val="209854B7"/>
    <w:rsid w:val="214E3DC8"/>
    <w:rsid w:val="246D0A09"/>
    <w:rsid w:val="24E50235"/>
    <w:rsid w:val="253F2829"/>
    <w:rsid w:val="2572277A"/>
    <w:rsid w:val="25867FD4"/>
    <w:rsid w:val="25CA5B13"/>
    <w:rsid w:val="26094761"/>
    <w:rsid w:val="26906DCA"/>
    <w:rsid w:val="27BF38CF"/>
    <w:rsid w:val="29455AB0"/>
    <w:rsid w:val="299B1AF2"/>
    <w:rsid w:val="2BC62952"/>
    <w:rsid w:val="2BDD46C6"/>
    <w:rsid w:val="2C11611D"/>
    <w:rsid w:val="2CE33F5E"/>
    <w:rsid w:val="2D200D0E"/>
    <w:rsid w:val="2D937732"/>
    <w:rsid w:val="2EC3522E"/>
    <w:rsid w:val="30136908"/>
    <w:rsid w:val="30593E7D"/>
    <w:rsid w:val="31085D41"/>
    <w:rsid w:val="32052280"/>
    <w:rsid w:val="331104CE"/>
    <w:rsid w:val="335353F6"/>
    <w:rsid w:val="344F012B"/>
    <w:rsid w:val="36A4650C"/>
    <w:rsid w:val="3BFE6232"/>
    <w:rsid w:val="3C2E5470"/>
    <w:rsid w:val="3E7569E0"/>
    <w:rsid w:val="411E335F"/>
    <w:rsid w:val="42D02437"/>
    <w:rsid w:val="438D7307"/>
    <w:rsid w:val="44894F93"/>
    <w:rsid w:val="44937BC0"/>
    <w:rsid w:val="454A3AE3"/>
    <w:rsid w:val="461026EE"/>
    <w:rsid w:val="46362EF9"/>
    <w:rsid w:val="464042EF"/>
    <w:rsid w:val="47FB2A68"/>
    <w:rsid w:val="48FE07EA"/>
    <w:rsid w:val="4A3D2009"/>
    <w:rsid w:val="4A565917"/>
    <w:rsid w:val="4ABD24B3"/>
    <w:rsid w:val="4ACA3A57"/>
    <w:rsid w:val="4B2116C3"/>
    <w:rsid w:val="4BF52F0E"/>
    <w:rsid w:val="4DAC5E02"/>
    <w:rsid w:val="4FFA0AF3"/>
    <w:rsid w:val="53422EDD"/>
    <w:rsid w:val="57F66044"/>
    <w:rsid w:val="596040BD"/>
    <w:rsid w:val="5AAB4CAC"/>
    <w:rsid w:val="5BA33255"/>
    <w:rsid w:val="5C3541E4"/>
    <w:rsid w:val="5C4001D5"/>
    <w:rsid w:val="5D2F33B4"/>
    <w:rsid w:val="5D5B2BBB"/>
    <w:rsid w:val="5DB46785"/>
    <w:rsid w:val="603E2C7E"/>
    <w:rsid w:val="607C2415"/>
    <w:rsid w:val="61215F42"/>
    <w:rsid w:val="617A1A94"/>
    <w:rsid w:val="61BE6E88"/>
    <w:rsid w:val="629E645C"/>
    <w:rsid w:val="636522D0"/>
    <w:rsid w:val="63770981"/>
    <w:rsid w:val="63B41DA5"/>
    <w:rsid w:val="64D4595F"/>
    <w:rsid w:val="655F1E1A"/>
    <w:rsid w:val="66065FEC"/>
    <w:rsid w:val="66723681"/>
    <w:rsid w:val="6B5275DD"/>
    <w:rsid w:val="6BA97B57"/>
    <w:rsid w:val="6C1D45C3"/>
    <w:rsid w:val="6C360CAD"/>
    <w:rsid w:val="6CAC04F4"/>
    <w:rsid w:val="6D032A72"/>
    <w:rsid w:val="6D396044"/>
    <w:rsid w:val="6DF40E20"/>
    <w:rsid w:val="70CB5E68"/>
    <w:rsid w:val="70D44079"/>
    <w:rsid w:val="71DE1BCB"/>
    <w:rsid w:val="7265409A"/>
    <w:rsid w:val="75EA3234"/>
    <w:rsid w:val="7649126E"/>
    <w:rsid w:val="771A5453"/>
    <w:rsid w:val="7771703D"/>
    <w:rsid w:val="77E57406"/>
    <w:rsid w:val="77F568DD"/>
    <w:rsid w:val="7880578A"/>
    <w:rsid w:val="788424D2"/>
    <w:rsid w:val="78A230DC"/>
    <w:rsid w:val="78B43685"/>
    <w:rsid w:val="7A262361"/>
    <w:rsid w:val="7A7255A6"/>
    <w:rsid w:val="7D987831"/>
    <w:rsid w:val="7FFD2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autoRedefine/>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autoRedefine/>
    <w:qFormat/>
    <w:uiPriority w:val="0"/>
    <w:pPr>
      <w:spacing w:after="120"/>
      <w:ind w:left="420" w:leftChars="200"/>
    </w:pPr>
  </w:style>
  <w:style w:type="paragraph" w:styleId="7">
    <w:name w:val="envelope return"/>
    <w:autoRedefine/>
    <w:qFormat/>
    <w:uiPriority w:val="0"/>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autoRedefine/>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Strong"/>
    <w:basedOn w:val="15"/>
    <w:autoRedefine/>
    <w:qFormat/>
    <w:uiPriority w:val="0"/>
    <w:rPr>
      <w:b/>
    </w:rPr>
  </w:style>
  <w:style w:type="character" w:styleId="17">
    <w:name w:val="Hyperlink"/>
    <w:basedOn w:val="15"/>
    <w:autoRedefine/>
    <w:qFormat/>
    <w:uiPriority w:val="0"/>
    <w:rPr>
      <w:color w:val="0000FF"/>
      <w:u w:val="single"/>
    </w:rPr>
  </w:style>
  <w:style w:type="paragraph" w:customStyle="1" w:styleId="18">
    <w:name w:val="List Paragraph1"/>
    <w:basedOn w:val="1"/>
    <w:next w:val="1"/>
    <w:autoRedefine/>
    <w:qFormat/>
    <w:uiPriority w:val="0"/>
    <w:pPr>
      <w:widowControl w:val="0"/>
      <w:autoSpaceDE/>
      <w:autoSpaceDN/>
      <w:spacing w:before="0" w:beforeLines="0" w:after="0" w:afterLines="0" w:line="240" w:lineRule="auto"/>
      <w:ind w:left="420" w:firstLine="3748"/>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1</TotalTime>
  <ScaleCrop>false</ScaleCrop>
  <LinksUpToDate>false</LinksUpToDate>
  <CharactersWithSpaces>1179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2024-04-03T03:49:00Z</cp:lastPrinted>
  <dcterms:modified xsi:type="dcterms:W3CDTF">2024-04-03T09:26:48Z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8EEE3BA80DD6445ABC239094A19A4F70_13</vt:lpwstr>
  </property>
  <property fmtid="{D5CDD505-2E9C-101B-9397-08002B2CF9AE}" pid="4" name="commondata">
    <vt:lpwstr>eyJoZGlkIjoiN2I0NDMxMDhhNzIxZjIxM2FiMjFkZWExNzY4MTY3OTUifQ==</vt:lpwstr>
  </property>
</Properties>
</file>