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r>
        <w:rPr>
          <w:rFonts w:hint="eastAsia" w:ascii="仿宋" w:hAnsi="仿宋" w:eastAsia="仿宋" w:cs="仿宋"/>
          <w:b/>
          <w:bCs/>
          <w:caps/>
          <w:color w:val="auto"/>
          <w:sz w:val="28"/>
          <w:szCs w:val="28"/>
          <w:highlight w:val="none"/>
          <w:shd w:val="clear" w:color="auto" w:fill="auto"/>
        </w:rPr>
        <w:t>项目编号</w:t>
      </w:r>
      <w:r>
        <w:rPr>
          <w:rFonts w:hint="eastAsia" w:ascii="仿宋" w:hAnsi="仿宋" w:eastAsia="仿宋" w:cs="仿宋"/>
          <w:b/>
          <w:bCs/>
          <w:caps/>
          <w:color w:val="auto"/>
          <w:sz w:val="28"/>
          <w:szCs w:val="28"/>
          <w:highlight w:val="none"/>
          <w:shd w:val="clear" w:color="auto" w:fill="auto"/>
          <w:lang w:eastAsia="zh-CN"/>
        </w:rPr>
        <w:t>：</w:t>
      </w:r>
      <w:r>
        <w:rPr>
          <w:rFonts w:hint="eastAsia" w:ascii="仿宋" w:hAnsi="仿宋" w:eastAsia="仿宋" w:cs="仿宋"/>
          <w:b/>
          <w:bCs/>
          <w:caps/>
          <w:color w:val="auto"/>
          <w:sz w:val="28"/>
          <w:szCs w:val="28"/>
          <w:highlight w:val="none"/>
          <w:shd w:val="clear" w:color="auto" w:fill="auto"/>
          <w:lang w:val="en-US" w:eastAsia="zh-CN"/>
        </w:rPr>
        <w:t>20240329</w:t>
      </w:r>
      <w:r>
        <w:rPr>
          <w:rFonts w:hint="eastAsia" w:ascii="仿宋" w:hAnsi="仿宋" w:eastAsia="仿宋" w:cs="仿宋"/>
          <w:b/>
          <w:bCs/>
          <w:caps/>
          <w:color w:val="auto"/>
          <w:sz w:val="28"/>
          <w:szCs w:val="28"/>
          <w:highlight w:val="none"/>
          <w:shd w:val="clear" w:color="auto" w:fill="auto"/>
        </w:rPr>
        <w:t>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p>
    <w:p>
      <w:pPr>
        <w:spacing w:line="560" w:lineRule="exact"/>
        <w:jc w:val="center"/>
        <w:rPr>
          <w:rFonts w:hint="default"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eastAsia="zh-CN"/>
        </w:rPr>
        <w:t>河南天门</w:t>
      </w:r>
      <w:r>
        <w:rPr>
          <w:rFonts w:hint="eastAsia" w:ascii="方正小标宋简体" w:hAnsi="方正小标宋简体" w:eastAsia="方正小标宋简体" w:cs="方正小标宋简体"/>
          <w:bCs/>
          <w:color w:val="auto"/>
          <w:sz w:val="44"/>
          <w:szCs w:val="44"/>
          <w:lang w:val="en-US" w:eastAsia="zh-CN"/>
        </w:rPr>
        <w:t>置业有限公司</w:t>
      </w:r>
    </w:p>
    <w:p>
      <w:pPr>
        <w:spacing w:line="56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“金叶鹿鸣花园项目”可行性研究报告编制</w:t>
      </w:r>
    </w:p>
    <w:p>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val="en-US" w:eastAsia="zh-CN"/>
        </w:rPr>
        <w:t>比选</w:t>
      </w:r>
      <w:r>
        <w:rPr>
          <w:rFonts w:hint="eastAsia" w:ascii="方正小标宋简体" w:hAnsi="方正小标宋简体" w:eastAsia="方正小标宋简体" w:cs="方正小标宋简体"/>
          <w:bCs/>
          <w:color w:val="auto"/>
          <w:sz w:val="44"/>
          <w:szCs w:val="44"/>
        </w:rPr>
        <w:t>邀请函</w:t>
      </w:r>
    </w:p>
    <w:p>
      <w:pPr>
        <w:jc w:val="cente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pPr>
    </w:p>
    <w:p>
      <w:pPr>
        <w:jc w:val="both"/>
        <w:rPr>
          <w:rFonts w:hint="eastAsia" w:ascii="方正小标宋简体" w:hAnsi="方正小标宋简体" w:eastAsia="方正小标宋简体" w:cs="方正小标宋简体"/>
          <w:b w:val="0"/>
          <w:bCs w:val="0"/>
          <w:color w:val="auto"/>
          <w:kern w:val="36"/>
          <w:sz w:val="52"/>
          <w:szCs w:val="52"/>
          <w:highlight w:val="none"/>
          <w:shd w:val="clear" w:color="auto" w:fill="auto"/>
          <w:lang w:val="en-US" w:eastAsia="zh-CN" w:bidi="ar-SA"/>
        </w:rPr>
      </w:pPr>
    </w:p>
    <w:p>
      <w:pPr>
        <w:jc w:val="center"/>
        <w:rPr>
          <w:rFonts w:hint="eastAsia" w:ascii="仿宋" w:hAnsi="仿宋" w:eastAsia="仿宋" w:cs="仿宋"/>
          <w:color w:val="auto"/>
          <w:sz w:val="28"/>
          <w:szCs w:val="28"/>
          <w:highlight w:val="none"/>
          <w:shd w:val="clear" w:color="auto" w:fill="auto"/>
        </w:rPr>
      </w:pPr>
    </w:p>
    <w:p>
      <w:pPr>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询 比 采 购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pPr>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color w:val="auto"/>
          <w:sz w:val="28"/>
          <w:szCs w:val="28"/>
          <w:highlight w:val="none"/>
          <w:shd w:val="clear" w:color="auto" w:fill="auto"/>
        </w:rPr>
      </w:pPr>
    </w:p>
    <w:p>
      <w:pPr>
        <w:pStyle w:val="19"/>
        <w:jc w:val="both"/>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color w:val="auto"/>
          <w:sz w:val="28"/>
          <w:szCs w:val="28"/>
          <w:highlight w:val="none"/>
          <w:shd w:val="clear" w:color="auto" w:fill="auto"/>
        </w:rPr>
      </w:pPr>
    </w:p>
    <w:p>
      <w:pPr>
        <w:spacing w:line="560" w:lineRule="exact"/>
        <w:jc w:val="center"/>
        <w:rPr>
          <w:rFonts w:hint="default"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询比采购单位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河南天门置业有限公司</w:t>
      </w:r>
    </w:p>
    <w:p>
      <w:pPr>
        <w:spacing w:line="360" w:lineRule="auto"/>
        <w:jc w:val="center"/>
        <w:rPr>
          <w:rFonts w:hint="eastAsia" w:ascii="仿宋" w:hAnsi="仿宋" w:eastAsia="仿宋" w:cs="仿宋"/>
          <w:b/>
          <w:bCs/>
          <w:caps/>
          <w:color w:val="auto"/>
          <w:sz w:val="36"/>
          <w:szCs w:val="36"/>
          <w:highlight w:val="none"/>
          <w:shd w:val="clear" w:color="auto" w:fill="auto"/>
          <w:lang w:eastAsia="zh-CN"/>
        </w:rPr>
      </w:pPr>
    </w:p>
    <w:p>
      <w:pPr>
        <w:spacing w:line="360" w:lineRule="auto"/>
        <w:jc w:val="center"/>
        <w:rPr>
          <w:rFonts w:hint="eastAsia" w:ascii="仿宋" w:hAnsi="仿宋" w:eastAsia="仿宋" w:cs="仿宋"/>
          <w:b/>
          <w:color w:val="auto"/>
          <w:sz w:val="36"/>
          <w:szCs w:val="36"/>
          <w:highlight w:val="none"/>
          <w:shd w:val="clear" w:color="auto" w:fill="auto"/>
        </w:rPr>
      </w:pPr>
    </w:p>
    <w:p>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四</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三</w:t>
      </w:r>
      <w:r>
        <w:rPr>
          <w:rFonts w:hint="eastAsia" w:ascii="仿宋" w:hAnsi="仿宋" w:eastAsia="仿宋" w:cs="仿宋"/>
          <w:b/>
          <w:color w:val="auto"/>
          <w:sz w:val="36"/>
          <w:szCs w:val="36"/>
          <w:highlight w:val="none"/>
          <w:shd w:val="clear" w:color="auto" w:fill="auto"/>
        </w:rPr>
        <w:t>月</w:t>
      </w:r>
    </w:p>
    <w:p>
      <w:pPr>
        <w:pStyle w:val="14"/>
        <w:ind w:firstLine="0" w:firstLineChars="0"/>
        <w:rPr>
          <w:rFonts w:hint="eastAsia" w:ascii="仿宋" w:hAnsi="仿宋" w:eastAsia="仿宋" w:cs="仿宋"/>
          <w:color w:val="auto"/>
          <w:sz w:val="24"/>
          <w:szCs w:val="24"/>
          <w:highlight w:val="none"/>
          <w:shd w:val="clear" w:color="auto" w:fill="auto"/>
        </w:rPr>
      </w:pPr>
    </w:p>
    <w:p>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询比采购文件</w:t>
      </w:r>
      <w:r>
        <w:rPr>
          <w:rFonts w:hint="eastAsia" w:ascii="仿宋" w:hAnsi="仿宋" w:eastAsia="仿宋" w:cs="仿宋"/>
          <w:b/>
          <w:color w:val="auto"/>
          <w:sz w:val="40"/>
          <w:szCs w:val="40"/>
          <w:highlight w:val="none"/>
          <w:shd w:val="clear" w:color="auto" w:fill="auto"/>
        </w:rPr>
        <w:t>目录</w:t>
      </w:r>
    </w:p>
    <w:p>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询比采购邀请函</w:t>
      </w:r>
    </w:p>
    <w:p>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询比采购邀请函</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根据工作需要，河南天门置业有限公司（以下简称“询比采购人”）拟通过询比采购方式选取咨询服务单位选择咨询公司开展“金叶鹿鸣花园项目”可行性研究报告编制业务，现诚邀符合资格条件的公司参加。</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询比采购</w:t>
      </w:r>
      <w:r>
        <w:rPr>
          <w:rFonts w:hint="eastAsia" w:ascii="仿宋_GB2312" w:hAnsi="仿宋_GB2312" w:eastAsia="仿宋_GB2312" w:cs="仿宋_GB2312"/>
          <w:b/>
          <w:bCs w:val="0"/>
          <w:color w:val="auto"/>
          <w:sz w:val="32"/>
          <w:szCs w:val="32"/>
          <w:lang w:val="en-US" w:eastAsia="zh-CN"/>
        </w:rPr>
        <w:t>项目概况及服务内容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1.项目名称：金叶鹿鸣花园《可行性研究报告》编制项目。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询比采购</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河南天门置业有限公司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3.在本次报告编制过程中，</w:t>
      </w:r>
      <w:r>
        <w:rPr>
          <w:rFonts w:hint="eastAsia" w:ascii="仿宋_GB2312" w:hAnsi="仿宋_GB2312" w:eastAsia="仿宋_GB2312" w:cs="仿宋_GB2312"/>
          <w:color w:val="auto"/>
          <w:sz w:val="32"/>
          <w:szCs w:val="32"/>
        </w:rPr>
        <w:t>配合“</w:t>
      </w:r>
      <w:r>
        <w:rPr>
          <w:rFonts w:hint="eastAsia" w:ascii="仿宋_GB2312" w:hAnsi="仿宋_GB2312" w:eastAsia="仿宋_GB2312" w:cs="仿宋_GB2312"/>
          <w:color w:val="auto"/>
          <w:sz w:val="32"/>
          <w:szCs w:val="32"/>
          <w:lang w:eastAsia="zh-CN"/>
        </w:rPr>
        <w:t>询比采购</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完成相关数据审查整理</w:t>
      </w:r>
      <w:r>
        <w:rPr>
          <w:rFonts w:hint="eastAsia" w:ascii="仿宋_GB2312" w:hAnsi="仿宋_GB2312" w:eastAsia="仿宋_GB2312" w:cs="仿宋_GB2312"/>
          <w:color w:val="auto"/>
          <w:sz w:val="32"/>
          <w:szCs w:val="32"/>
        </w:rPr>
        <w:t>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参与此次</w:t>
      </w:r>
      <w:r>
        <w:rPr>
          <w:rFonts w:hint="eastAsia" w:ascii="仿宋_GB2312" w:hAnsi="仿宋_GB2312" w:eastAsia="仿宋_GB2312" w:cs="仿宋_GB2312"/>
          <w:color w:val="auto"/>
          <w:sz w:val="32"/>
          <w:szCs w:val="32"/>
          <w:lang w:eastAsia="zh-CN"/>
        </w:rPr>
        <w:t>询比采购</w:t>
      </w:r>
      <w:r>
        <w:rPr>
          <w:rFonts w:hint="eastAsia" w:ascii="仿宋_GB2312" w:hAnsi="仿宋_GB2312" w:eastAsia="仿宋_GB2312" w:cs="仿宋_GB2312"/>
          <w:color w:val="auto"/>
          <w:sz w:val="32"/>
          <w:szCs w:val="32"/>
        </w:rPr>
        <w:t>应具备以下条件：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rPr>
        <w:t>在中华人民共和国境内注册，具备独立法人资格，持有合法有效的企业法人营业执照；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2.具备出具《可行性研究报告》的成功经验；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3.询比采购申请人近三年未因重大的执业质量等问题受到通报、处罚，没有处于破产、被责令停业或存在其他违法行为；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询比采购申请人未被列入“失信被执行人名单”，提供相关主体（包括询比采购申请人、法定代表人、项目负责人）在“信用中国”网站（www.creditchina.gov.cn）“失信被执行人”情况查询记录（查询日期在询比采购公告发布日期当日或之后）。</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按照询比采购文件第</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章要求提供。</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2024年4月2日</w:t>
      </w:r>
      <w:r>
        <w:rPr>
          <w:rFonts w:hint="eastAsia" w:ascii="仿宋_GB2312" w:hAnsi="仿宋_GB2312" w:eastAsia="仿宋_GB2312" w:cs="仿宋_GB2312"/>
          <w:color w:val="auto"/>
          <w:sz w:val="32"/>
          <w:szCs w:val="32"/>
          <w:highlight w:val="none"/>
        </w:rPr>
        <w:t>前将</w:t>
      </w:r>
      <w:r>
        <w:rPr>
          <w:rFonts w:hint="eastAsia" w:ascii="仿宋_GB2312" w:hAnsi="仿宋_GB2312" w:eastAsia="仿宋_GB2312" w:cs="仿宋_GB2312"/>
          <w:color w:val="auto"/>
          <w:sz w:val="32"/>
          <w:szCs w:val="32"/>
          <w:highlight w:val="none"/>
          <w:lang w:eastAsia="zh-CN"/>
        </w:rPr>
        <w:t>投</w:t>
      </w:r>
      <w:r>
        <w:rPr>
          <w:rFonts w:hint="eastAsia" w:ascii="仿宋_GB2312" w:hAnsi="仿宋_GB2312" w:eastAsia="仿宋_GB2312" w:cs="仿宋_GB2312"/>
          <w:color w:val="auto"/>
          <w:sz w:val="32"/>
          <w:szCs w:val="32"/>
          <w:lang w:eastAsia="zh-CN"/>
        </w:rPr>
        <w:t>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河南省许昌市魏武大道与陈庄街交汇处东北角金叶鹿鸣花园营销中心。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询比采购</w:t>
      </w:r>
      <w:r>
        <w:rPr>
          <w:rFonts w:hint="eastAsia" w:ascii="仿宋_GB2312" w:hAnsi="仿宋_GB2312" w:eastAsia="仿宋_GB2312" w:cs="仿宋_GB2312"/>
          <w:b/>
          <w:bCs w:val="0"/>
          <w:color w:val="auto"/>
          <w:sz w:val="32"/>
          <w:szCs w:val="32"/>
        </w:rPr>
        <w:t>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询比采购</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询比采购</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询比采购</w:t>
      </w:r>
      <w:r>
        <w:rPr>
          <w:rFonts w:hint="eastAsia" w:ascii="仿宋_GB2312" w:hAnsi="仿宋_GB2312" w:eastAsia="仿宋_GB2312" w:cs="仿宋_GB2312"/>
          <w:color w:val="auto"/>
          <w:sz w:val="32"/>
          <w:szCs w:val="32"/>
        </w:rPr>
        <w:t>人组成的磋商小组进行磋商确定。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询比采购</w:t>
      </w:r>
      <w:r>
        <w:rPr>
          <w:rFonts w:hint="eastAsia" w:ascii="仿宋_GB2312" w:hAnsi="仿宋_GB2312" w:eastAsia="仿宋_GB2312" w:cs="仿宋_GB2312"/>
          <w:color w:val="auto"/>
          <w:sz w:val="32"/>
          <w:szCs w:val="32"/>
        </w:rPr>
        <w:t>人有权选用其他</w:t>
      </w:r>
      <w:r>
        <w:rPr>
          <w:rFonts w:hint="eastAsia" w:ascii="仿宋_GB2312" w:hAnsi="仿宋_GB2312" w:eastAsia="仿宋_GB2312" w:cs="仿宋_GB2312"/>
          <w:color w:val="auto"/>
          <w:sz w:val="32"/>
          <w:szCs w:val="32"/>
          <w:lang w:val="en-US" w:eastAsia="zh-CN"/>
        </w:rPr>
        <w:t>咨询服务机构</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、询比采购控制价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结合本地市场行业定价实际执行情况，本项目询比采购招标限价不高于</w:t>
      </w:r>
      <w:r>
        <w:rPr>
          <w:rFonts w:hint="eastAsia" w:ascii="仿宋_GB2312" w:hAnsi="仿宋_GB2312" w:eastAsia="仿宋_GB2312" w:cs="仿宋_GB2312"/>
          <w:color w:val="auto"/>
          <w:sz w:val="32"/>
          <w:szCs w:val="32"/>
          <w:highlight w:val="none"/>
          <w:lang w:val="en-US" w:eastAsia="zh-CN"/>
        </w:rPr>
        <w:t>20万元。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次询比采购公告在许昌市城投发展集团有限公司官网（网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28359008"/>
      <w:bookmarkEnd w:id="0"/>
      <w:bookmarkStart w:id="1" w:name="_Toc35393796"/>
      <w:bookmarkEnd w:id="1"/>
      <w:bookmarkStart w:id="2" w:name="_Toc35393627"/>
      <w:bookmarkEnd w:id="2"/>
      <w:bookmarkStart w:id="3" w:name="_Toc28359085"/>
      <w:bookmarkEnd w:id="3"/>
      <w:bookmarkStart w:id="4" w:name="_Toc35393795"/>
      <w:bookmarkEnd w:id="4"/>
      <w:bookmarkStart w:id="5" w:name="_Toc35393626"/>
      <w:bookmarkEnd w:id="5"/>
      <w:r>
        <w:rPr>
          <w:rFonts w:hint="eastAsia" w:ascii="仿宋_GB2312" w:hAnsi="仿宋_GB2312" w:eastAsia="仿宋_GB2312" w:cs="仿宋_GB2312"/>
          <w:b/>
          <w:bCs w:val="0"/>
          <w:color w:val="auto"/>
          <w:sz w:val="32"/>
          <w:szCs w:val="32"/>
          <w:highlight w:val="none"/>
          <w:lang w:val="en-US" w:eastAsia="zh-CN"/>
        </w:rPr>
        <w:t>九、联系方式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US" w:eastAsia="zh-CN"/>
        </w:rPr>
        <w:t>询比采购人</w:t>
      </w:r>
      <w:r>
        <w:rPr>
          <w:rFonts w:hint="eastAsia" w:ascii="仿宋_GB2312" w:hAnsi="仿宋_GB2312" w:eastAsia="仿宋_GB2312" w:cs="仿宋_GB2312"/>
          <w:b w:val="0"/>
          <w:bCs/>
          <w:color w:val="auto"/>
          <w:sz w:val="32"/>
          <w:szCs w:val="32"/>
          <w:highlight w:val="none"/>
          <w:lang w:val="en-GB" w:eastAsia="zh-CN"/>
        </w:rPr>
        <w:t>：</w:t>
      </w:r>
      <w:r>
        <w:rPr>
          <w:rFonts w:hint="eastAsia" w:ascii="仿宋_GB2312" w:hAnsi="仿宋_GB2312" w:eastAsia="仿宋_GB2312" w:cs="仿宋_GB2312"/>
          <w:color w:val="auto"/>
          <w:sz w:val="32"/>
          <w:szCs w:val="32"/>
          <w:lang w:val="en-US" w:eastAsia="zh-CN"/>
        </w:rPr>
        <w:t>河南天门置业有限公司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河南省许昌市魏武大道与陈庄街交汇处东北角金叶鹿鸣花园营销中心。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 系 人：</w:t>
      </w:r>
      <w:r>
        <w:rPr>
          <w:rFonts w:hint="eastAsia" w:ascii="仿宋_GB2312" w:hAnsi="仿宋_GB2312" w:eastAsia="仿宋_GB2312" w:cs="仿宋_GB2312"/>
          <w:b w:val="0"/>
          <w:bCs/>
          <w:color w:val="auto"/>
          <w:sz w:val="32"/>
          <w:szCs w:val="32"/>
          <w:highlight w:val="none"/>
          <w:lang w:val="en-US" w:eastAsia="zh-CN"/>
        </w:rPr>
        <w:t xml:space="preserve">王籽启  </w:t>
      </w:r>
      <w:r>
        <w:rPr>
          <w:rFonts w:hint="eastAsia" w:ascii="仿宋_GB2312" w:hAnsi="仿宋_GB2312" w:eastAsia="仿宋_GB2312" w:cs="仿宋_GB2312"/>
          <w:b w:val="0"/>
          <w:bCs/>
          <w:color w:val="auto"/>
          <w:sz w:val="32"/>
          <w:szCs w:val="32"/>
          <w:highlight w:val="none"/>
          <w:lang w:val="en-GB"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18567325532</w:t>
      </w:r>
    </w:p>
    <w:p>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pPr>
        <w:pStyle w:val="14"/>
        <w:rPr>
          <w:rFonts w:hint="eastAsia" w:ascii="仿宋" w:hAnsi="仿宋" w:eastAsia="仿宋" w:cs="仿宋"/>
          <w:b/>
          <w:bCs/>
          <w:color w:val="auto"/>
          <w:sz w:val="24"/>
          <w:szCs w:val="24"/>
        </w:rPr>
      </w:pPr>
    </w:p>
    <w:p>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.在本次</w:t>
      </w:r>
      <w:r>
        <w:rPr>
          <w:rFonts w:hint="eastAsia" w:ascii="仿宋_GB2312" w:hAnsi="仿宋_GB2312" w:eastAsia="仿宋_GB2312" w:cs="仿宋_GB2312"/>
          <w:color w:val="auto"/>
          <w:sz w:val="32"/>
          <w:szCs w:val="32"/>
          <w:lang w:eastAsia="zh-CN"/>
        </w:rPr>
        <w:t>融资业务</w:t>
      </w:r>
      <w:r>
        <w:rPr>
          <w:rFonts w:hint="eastAsia" w:ascii="仿宋_GB2312" w:hAnsi="仿宋_GB2312" w:eastAsia="仿宋_GB2312" w:cs="仿宋_GB2312"/>
          <w:color w:val="auto"/>
          <w:sz w:val="32"/>
          <w:szCs w:val="32"/>
          <w:lang w:val="en-US" w:eastAsia="zh-CN"/>
        </w:rPr>
        <w:t>过程中，</w:t>
      </w:r>
      <w:r>
        <w:rPr>
          <w:rFonts w:hint="eastAsia" w:ascii="仿宋_GB2312" w:hAnsi="仿宋_GB2312" w:eastAsia="仿宋_GB2312" w:cs="仿宋_GB2312"/>
          <w:color w:val="auto"/>
          <w:sz w:val="32"/>
          <w:szCs w:val="32"/>
        </w:rPr>
        <w:t>配合“</w:t>
      </w:r>
      <w:r>
        <w:rPr>
          <w:rFonts w:hint="eastAsia" w:ascii="仿宋_GB2312" w:hAnsi="仿宋_GB2312" w:eastAsia="仿宋_GB2312" w:cs="仿宋_GB2312"/>
          <w:color w:val="auto"/>
          <w:sz w:val="32"/>
          <w:szCs w:val="32"/>
          <w:lang w:eastAsia="zh-CN"/>
        </w:rPr>
        <w:t>询比采购</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完成相关数据审查整理</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lang w:val="en-US" w:eastAsia="zh-CN"/>
        </w:rPr>
        <w:t>2.根据融资需要，咨询公司对金叶鹿鸣花园项目出具《可行性研究报告》，确保满足项目融资需要和指导项目后续推进。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color w:val="auto"/>
          <w:lang w:eastAsia="zh-CN"/>
        </w:rPr>
      </w:pPr>
      <w:r>
        <w:rPr>
          <w:rFonts w:hint="eastAsia" w:ascii="仿宋_GB2312" w:hAnsi="仿宋_GB2312" w:eastAsia="仿宋_GB2312" w:cs="仿宋_GB2312"/>
          <w:color w:val="auto"/>
          <w:sz w:val="32"/>
          <w:szCs w:val="32"/>
          <w:lang w:eastAsia="zh-CN"/>
        </w:rPr>
        <w:t>服务内容中所列要求为最低要求，不允许偏离，否则将承担其投标被视为非实质性响应投标的风险。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确定为</w:t>
      </w:r>
      <w:r>
        <w:rPr>
          <w:rFonts w:hint="eastAsia" w:ascii="仿宋_GB2312" w:hAnsi="仿宋_GB2312" w:eastAsia="仿宋_GB2312" w:cs="仿宋_GB2312"/>
          <w:color w:val="auto"/>
          <w:sz w:val="32"/>
          <w:szCs w:val="32"/>
          <w:lang w:val="en-US" w:eastAsia="zh-CN"/>
        </w:rPr>
        <w:t>中标人起十天内出具《可行性研究报告》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不得</w:t>
      </w:r>
      <w:r>
        <w:rPr>
          <w:rFonts w:hint="eastAsia" w:ascii="仿宋_GB2312" w:hAnsi="仿宋_GB2312" w:eastAsia="仿宋_GB2312" w:cs="仿宋_GB2312"/>
          <w:color w:val="auto"/>
          <w:sz w:val="32"/>
          <w:szCs w:val="32"/>
          <w:lang w:val="en-US" w:eastAsia="zh-CN"/>
        </w:rPr>
        <w:t>以任何理由延迟交付</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TW"/>
        </w:rPr>
      </w:pPr>
      <w:r>
        <w:rPr>
          <w:rFonts w:hint="eastAsia" w:ascii="仿宋_GB2312" w:hAnsi="仿宋_GB2312" w:eastAsia="仿宋_GB2312" w:cs="仿宋_GB2312"/>
          <w:color w:val="auto"/>
          <w:sz w:val="32"/>
          <w:szCs w:val="32"/>
          <w:lang w:eastAsia="zh-TW"/>
        </w:rPr>
        <w:t>以上要求</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lang w:eastAsia="zh-TW"/>
        </w:rPr>
        <w:t>应等于或优于以上要求，不得低于此要求。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TW"/>
        </w:rPr>
      </w:pPr>
      <w:r>
        <w:rPr>
          <w:rFonts w:hint="eastAsia" w:ascii="仿宋_GB2312" w:hAnsi="仿宋_GB2312" w:eastAsia="仿宋_GB2312" w:cs="仿宋_GB2312"/>
          <w:color w:val="auto"/>
          <w:sz w:val="32"/>
          <w:szCs w:val="32"/>
          <w:lang w:eastAsia="zh-TW"/>
        </w:rPr>
        <w:t>因中标人的过失，给</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lang w:eastAsia="zh-TW"/>
        </w:rPr>
        <w:t>或委托人造成经济损失的，应当依法赔偿</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验收标准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获得</w:t>
      </w:r>
      <w:r>
        <w:rPr>
          <w:rFonts w:hint="eastAsia" w:ascii="仿宋_GB2312" w:hAnsi="仿宋_GB2312" w:eastAsia="仿宋_GB2312" w:cs="仿宋_GB2312"/>
          <w:color w:val="auto"/>
          <w:sz w:val="32"/>
          <w:szCs w:val="32"/>
          <w:lang w:val="en-US" w:eastAsia="zh-CN"/>
        </w:rPr>
        <w:t>符合项目金融机构要求的《可行性研究报告》</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w:t>
      </w:r>
      <w:r>
        <w:rPr>
          <w:rFonts w:hint="eastAsia" w:ascii="仿宋_GB2312" w:hAnsi="仿宋_GB2312" w:eastAsia="仿宋_GB2312" w:cs="仿宋_GB2312"/>
          <w:color w:val="auto"/>
          <w:sz w:val="32"/>
          <w:szCs w:val="32"/>
          <w:highlight w:val="none"/>
          <w:lang w:val="zh-CN" w:eastAsia="zh-CN"/>
        </w:rPr>
        <w:t>最高限价为</w:t>
      </w:r>
      <w:r>
        <w:rPr>
          <w:rFonts w:hint="eastAsia" w:ascii="仿宋_GB2312" w:hAnsi="仿宋_GB2312" w:eastAsia="仿宋_GB2312" w:cs="仿宋_GB2312"/>
          <w:color w:val="auto"/>
          <w:sz w:val="32"/>
          <w:szCs w:val="32"/>
          <w:highlight w:val="none"/>
          <w:lang w:val="en-US" w:eastAsia="zh-CN"/>
        </w:rPr>
        <w:t>20万元</w:t>
      </w:r>
      <w:r>
        <w:rPr>
          <w:rFonts w:hint="eastAsia" w:ascii="仿宋_GB2312" w:hAnsi="仿宋_GB2312" w:eastAsia="仿宋_GB2312" w:cs="仿宋_GB2312"/>
          <w:color w:val="auto"/>
          <w:sz w:val="32"/>
          <w:szCs w:val="32"/>
          <w:highlight w:val="none"/>
          <w:lang w:val="zh-CN" w:eastAsia="zh-CN"/>
        </w:rPr>
        <w:t>，超出最高限价的投标无效</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咨询服务合同约定执行。</w:t>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询比采购</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480" w:firstLineChars="200"/>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项目名称：</w:t>
            </w:r>
            <w:r>
              <w:rPr>
                <w:rFonts w:hint="eastAsia" w:ascii="仿宋" w:hAnsi="仿宋" w:eastAsia="仿宋" w:cs="仿宋"/>
                <w:color w:val="auto"/>
                <w:sz w:val="24"/>
                <w:szCs w:val="24"/>
                <w:lang w:val="en-US" w:eastAsia="zh-CN"/>
              </w:rPr>
              <w:t>金叶鹿鸣花园《可行性研究报告》编制项目</w:t>
            </w:r>
          </w:p>
          <w:p>
            <w:pPr>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val="en-US" w:eastAsia="zh-CN"/>
              </w:rPr>
              <w:t xml:space="preserve">：20240329号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根据工作需要，咨询公司对金叶鹿鸣花园项目出具《可行性研究报告》，确保满足项目融资需要和指导项目后续推进。</w:t>
            </w:r>
          </w:p>
          <w:p>
            <w:pPr>
              <w:spacing w:line="360" w:lineRule="auto"/>
              <w:jc w:val="left"/>
              <w:rPr>
                <w:rFonts w:hint="eastAsia" w:ascii="仿宋" w:hAnsi="仿宋" w:eastAsia="仿宋" w:cs="仿宋"/>
                <w:color w:val="auto"/>
                <w:sz w:val="24"/>
                <w:szCs w:val="24"/>
                <w:shd w:val="clear" w:color="030000" w:fill="auto"/>
              </w:rPr>
            </w:pP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询比采购人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w:t>
            </w:r>
            <w:r>
              <w:rPr>
                <w:rFonts w:hint="eastAsia" w:ascii="仿宋" w:hAnsi="仿宋" w:eastAsia="仿宋" w:cs="仿宋"/>
                <w:color w:val="auto"/>
                <w:sz w:val="24"/>
                <w:szCs w:val="24"/>
                <w:lang w:val="en-US" w:eastAsia="zh-CN"/>
              </w:rPr>
              <w:t>河南天门置业有限公司</w:t>
            </w:r>
          </w:p>
          <w:p>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河南省许昌市魏武大道与陈庄街交汇处东北角金叶鹿鸣花园营销中心。</w:t>
            </w:r>
          </w:p>
          <w:p>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王籽启</w:t>
            </w:r>
            <w:r>
              <w:rPr>
                <w:rFonts w:hint="eastAsia" w:ascii="仿宋" w:hAnsi="仿宋" w:eastAsia="仿宋" w:cs="仿宋"/>
                <w:bCs/>
                <w:color w:val="auto"/>
                <w:sz w:val="24"/>
                <w:szCs w:val="24"/>
                <w:highlight w:val="none"/>
                <w:lang w:eastAsia="zh-CN"/>
              </w:rPr>
              <w:t xml:space="preserve">           </w:t>
            </w:r>
          </w:p>
          <w:p>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18567325532</w:t>
            </w:r>
            <w:r>
              <w:rPr>
                <w:rFonts w:hint="eastAsia" w:ascii="仿宋" w:hAnsi="仿宋" w:eastAsia="仿宋" w:cs="仿宋"/>
                <w:bCs/>
                <w:color w:val="auto"/>
                <w:sz w:val="24"/>
                <w:szCs w:val="24"/>
                <w:highlight w:val="none"/>
                <w:lang w:eastAsia="zh-CN"/>
              </w:rPr>
              <w:t xml:space="preserve">  </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1、在中华人民共和国境内注册，具备独立法人资格，持有合法有效的企业法人营业执照；</w:t>
            </w:r>
          </w:p>
          <w:p>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2、具备出具《可行性研究报告》的成功经验；</w:t>
            </w:r>
          </w:p>
          <w:p>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3、询比采购申请人近三年未因重大的执业质量等问题受到通报、处罚，没有处于破产、被责令停业或存在其他违法行为；</w:t>
            </w:r>
          </w:p>
          <w:p>
            <w:pPr>
              <w:autoSpaceDE w:val="0"/>
              <w:autoSpaceDN w:val="0"/>
              <w:adjustRightInd w:val="0"/>
              <w:spacing w:line="540" w:lineRule="exact"/>
              <w:ind w:right="-11"/>
              <w:rPr>
                <w:rFonts w:hint="eastAsia"/>
                <w:color w:val="auto"/>
                <w:lang w:val="en-US" w:eastAsia="zh-CN"/>
              </w:rPr>
            </w:pPr>
            <w:r>
              <w:rPr>
                <w:rFonts w:hint="eastAsia" w:ascii="仿宋" w:hAnsi="仿宋" w:eastAsia="仿宋" w:cs="仿宋"/>
                <w:bCs/>
                <w:color w:val="auto"/>
                <w:sz w:val="24"/>
                <w:szCs w:val="24"/>
                <w:highlight w:val="none"/>
                <w:lang w:val="en-US" w:eastAsia="zh-CN"/>
              </w:rPr>
              <w:t>4、询比采购申请人未被列入“失信被执行人名单”，提供相关主体（包括询比采购申请人、法定代表人、项目负责人）在“信用中国”网站（www.creditchina.gov.cn）“失信被执行人”情况查询记录（查询日期在询比采购公告发布日期当日或之后）。</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咨询服务业务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20万元</w:t>
            </w:r>
            <w:r>
              <w:rPr>
                <w:rFonts w:hint="eastAsia" w:ascii="仿宋" w:hAnsi="仿宋" w:eastAsia="仿宋" w:cs="仿宋"/>
                <w:color w:val="auto"/>
                <w:sz w:val="24"/>
                <w:szCs w:val="24"/>
                <w:highlight w:val="none"/>
                <w:lang w:val="zh-CN" w:eastAsia="zh-CN"/>
              </w:rPr>
              <w:t>，超出最高限价的投标无效。</w:t>
            </w:r>
          </w:p>
          <w:p>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2024</w:t>
            </w:r>
            <w:r>
              <w:rPr>
                <w:rFonts w:hint="eastAsia" w:ascii="仿宋" w:hAnsi="仿宋" w:eastAsia="仿宋" w:cs="仿宋"/>
                <w:color w:val="auto"/>
                <w:sz w:val="24"/>
                <w:szCs w:val="24"/>
                <w:lang w:val="zh-CN" w:eastAsia="zh-CN"/>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zh-CN" w:eastAsia="zh-CN"/>
              </w:rPr>
              <w:t>月</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eastAsia="zh-CN"/>
              </w:rPr>
              <w:t>日</w:t>
            </w:r>
            <w:r>
              <w:rPr>
                <w:rFonts w:hint="eastAsia" w:ascii="仿宋" w:hAnsi="仿宋" w:eastAsia="仿宋" w:cs="仿宋"/>
                <w:color w:val="auto"/>
                <w:sz w:val="24"/>
                <w:szCs w:val="24"/>
                <w:lang w:val="en-US" w:eastAsia="zh-CN"/>
              </w:rPr>
              <w:t>09</w:t>
            </w:r>
            <w:r>
              <w:rPr>
                <w:rFonts w:hint="eastAsia" w:ascii="仿宋" w:hAnsi="仿宋" w:eastAsia="仿宋" w:cs="仿宋"/>
                <w:color w:val="auto"/>
                <w:sz w:val="24"/>
                <w:szCs w:val="24"/>
                <w:lang w:val="zh-CN" w:eastAsia="zh-CN"/>
              </w:rPr>
              <w:t>时</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lang w:val="zh-CN" w:eastAsia="zh-CN"/>
              </w:rPr>
              <w:t>分（北京时间）</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河南省许昌市魏武大道与陈庄街交汇处东北角金叶鹿鸣花园营销中心二楼会议室。</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询比采购</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潜在投标人如对询比采购文件有异议，请在向询比采购人以书面形式在询比采购活动结束后7天内提出，逾期将不予受理。</w:t>
            </w:r>
          </w:p>
        </w:tc>
      </w:tr>
    </w:tbl>
    <w:p>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询比采购</w:t>
            </w:r>
            <w:r>
              <w:rPr>
                <w:rFonts w:hint="eastAsia" w:ascii="宋体" w:hAnsi="宋体"/>
                <w:b/>
                <w:color w:val="auto"/>
                <w:sz w:val="28"/>
                <w:szCs w:val="28"/>
              </w:rPr>
              <w:t>报价</w:t>
            </w:r>
          </w:p>
        </w:tc>
        <w:tc>
          <w:tcPr>
            <w:tcW w:w="1353" w:type="dxa"/>
            <w:vAlign w:val="center"/>
          </w:tcPr>
          <w:p>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30分</w:t>
            </w:r>
          </w:p>
        </w:tc>
        <w:tc>
          <w:tcPr>
            <w:tcW w:w="4004" w:type="dxa"/>
            <w:vAlign w:val="center"/>
          </w:tcPr>
          <w:p>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1.收费超过</w:t>
            </w:r>
            <w:r>
              <w:rPr>
                <w:rFonts w:hint="eastAsia" w:ascii="宋体" w:hAnsi="宋体" w:cs="宋体"/>
                <w:color w:val="auto"/>
                <w:kern w:val="0"/>
                <w:sz w:val="28"/>
                <w:szCs w:val="28"/>
                <w:lang w:val="en-US" w:eastAsia="zh-CN" w:bidi="ar"/>
              </w:rPr>
              <w:t>20</w:t>
            </w:r>
            <w:r>
              <w:rPr>
                <w:rFonts w:hint="eastAsia" w:ascii="宋体" w:hAnsi="宋体" w:cs="宋体"/>
                <w:color w:val="auto"/>
                <w:kern w:val="0"/>
                <w:sz w:val="28"/>
                <w:szCs w:val="28"/>
                <w:lang w:bidi="ar"/>
              </w:rPr>
              <w:t>万元为无效报价；</w:t>
            </w:r>
          </w:p>
          <w:p>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2.所有参与的</w:t>
            </w:r>
            <w:r>
              <w:rPr>
                <w:rFonts w:hint="eastAsia" w:ascii="宋体" w:hAnsi="宋体" w:cs="宋体"/>
                <w:color w:val="auto"/>
                <w:kern w:val="0"/>
                <w:sz w:val="28"/>
                <w:szCs w:val="28"/>
                <w:lang w:eastAsia="zh-CN" w:bidi="ar"/>
              </w:rPr>
              <w:t>询比采购</w:t>
            </w:r>
            <w:r>
              <w:rPr>
                <w:rFonts w:hint="eastAsia" w:ascii="宋体" w:hAnsi="宋体" w:cs="宋体"/>
                <w:color w:val="auto"/>
                <w:kern w:val="0"/>
                <w:sz w:val="28"/>
                <w:szCs w:val="28"/>
                <w:lang w:bidi="ar"/>
              </w:rPr>
              <w:t>申请人最低的有效报价为基准报价；</w:t>
            </w:r>
          </w:p>
          <w:p>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3.报价得分=（基准报价/报价）×</w:t>
            </w:r>
            <w:r>
              <w:rPr>
                <w:rFonts w:hint="eastAsia" w:ascii="宋体" w:hAnsi="宋体" w:cs="宋体"/>
                <w:color w:val="auto"/>
                <w:kern w:val="0"/>
                <w:sz w:val="28"/>
                <w:szCs w:val="28"/>
                <w:lang w:val="en-US" w:eastAsia="zh-CN" w:bidi="ar"/>
              </w:rPr>
              <w:t>3</w:t>
            </w:r>
            <w:r>
              <w:rPr>
                <w:rFonts w:hint="eastAsia" w:ascii="宋体" w:hAnsi="宋体" w:cs="宋体"/>
                <w:color w:val="auto"/>
                <w:kern w:val="0"/>
                <w:sz w:val="28"/>
                <w:szCs w:val="28"/>
                <w:lang w:bidi="ar"/>
              </w:rPr>
              <w:t>0分。</w:t>
            </w:r>
          </w:p>
        </w:tc>
        <w:tc>
          <w:tcPr>
            <w:tcW w:w="1575" w:type="dxa"/>
            <w:vAlign w:val="center"/>
          </w:tcPr>
          <w:p>
            <w:pPr>
              <w:tabs>
                <w:tab w:val="left" w:pos="622"/>
              </w:tabs>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pPr>
              <w:tabs>
                <w:tab w:val="left" w:pos="622"/>
              </w:tabs>
              <w:spacing w:line="440" w:lineRule="exact"/>
              <w:jc w:val="left"/>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咨询公司成员每有1人得10分，最高20分。</w:t>
            </w:r>
          </w:p>
        </w:tc>
        <w:tc>
          <w:tcPr>
            <w:tcW w:w="1575" w:type="dxa"/>
            <w:vAlign w:val="center"/>
          </w:tcPr>
          <w:p>
            <w:pPr>
              <w:tabs>
                <w:tab w:val="left" w:pos="622"/>
              </w:tabs>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30分</w:t>
            </w:r>
          </w:p>
        </w:tc>
        <w:tc>
          <w:tcPr>
            <w:tcW w:w="4004" w:type="dxa"/>
            <w:vAlign w:val="center"/>
          </w:tcPr>
          <w:p>
            <w:pPr>
              <w:tabs>
                <w:tab w:val="left" w:pos="622"/>
              </w:tabs>
              <w:spacing w:line="440" w:lineRule="exact"/>
              <w:jc w:val="left"/>
              <w:rPr>
                <w:rFonts w:hint="default" w:ascii="宋体" w:hAnsi="宋体"/>
                <w:color w:val="auto"/>
                <w:sz w:val="28"/>
                <w:szCs w:val="28"/>
                <w:lang w:val="en-US" w:eastAsia="zh-CN"/>
              </w:rPr>
            </w:pPr>
            <w:r>
              <w:rPr>
                <w:rFonts w:hint="eastAsia" w:ascii="宋体" w:hAnsi="宋体"/>
                <w:color w:val="auto"/>
                <w:sz w:val="28"/>
                <w:szCs w:val="28"/>
                <w:lang w:val="en-US" w:eastAsia="zh-CN"/>
              </w:rPr>
              <w:t>提供服务方案优秀的得30分；良好的得15分；没有不得分。</w:t>
            </w:r>
          </w:p>
        </w:tc>
        <w:tc>
          <w:tcPr>
            <w:tcW w:w="1575" w:type="dxa"/>
            <w:vAlign w:val="center"/>
          </w:tcPr>
          <w:p>
            <w:pPr>
              <w:tabs>
                <w:tab w:val="left" w:pos="622"/>
              </w:tabs>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服务业绩</w:t>
            </w:r>
          </w:p>
        </w:tc>
        <w:tc>
          <w:tcPr>
            <w:tcW w:w="1353" w:type="dxa"/>
            <w:vAlign w:val="center"/>
          </w:tcPr>
          <w:p>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pPr>
              <w:tabs>
                <w:tab w:val="left" w:pos="622"/>
              </w:tabs>
              <w:jc w:val="center"/>
              <w:rPr>
                <w:rFonts w:hint="eastAsia" w:ascii="宋体" w:hAnsi="宋体" w:eastAsia="宋体"/>
                <w:color w:val="auto"/>
                <w:sz w:val="24"/>
                <w:lang w:val="en-US" w:eastAsia="zh-CN"/>
              </w:rPr>
            </w:pPr>
            <w:r>
              <w:rPr>
                <w:rFonts w:hint="eastAsia" w:ascii="宋体" w:hAnsi="宋体"/>
                <w:color w:val="auto"/>
                <w:sz w:val="28"/>
                <w:szCs w:val="28"/>
                <w:lang w:val="en-US" w:eastAsia="zh-CN"/>
              </w:rPr>
              <w:t>每提供一份咨询服务证明材料得10分，最高20分。</w:t>
            </w:r>
          </w:p>
        </w:tc>
        <w:tc>
          <w:tcPr>
            <w:tcW w:w="1575" w:type="dxa"/>
            <w:vAlign w:val="center"/>
          </w:tcPr>
          <w:p>
            <w:pPr>
              <w:tabs>
                <w:tab w:val="left" w:pos="622"/>
              </w:tabs>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pPr>
              <w:tabs>
                <w:tab w:val="left" w:pos="622"/>
              </w:tabs>
              <w:jc w:val="center"/>
              <w:rPr>
                <w:rFonts w:hint="eastAsia" w:ascii="宋体" w:hAnsi="宋体"/>
                <w:color w:val="auto"/>
                <w:sz w:val="24"/>
              </w:rPr>
            </w:pPr>
          </w:p>
        </w:tc>
        <w:tc>
          <w:tcPr>
            <w:tcW w:w="1575" w:type="dxa"/>
            <w:vAlign w:val="center"/>
          </w:tcPr>
          <w:p>
            <w:pPr>
              <w:tabs>
                <w:tab w:val="left" w:pos="622"/>
              </w:tabs>
              <w:jc w:val="center"/>
              <w:rPr>
                <w:rFonts w:hint="eastAsia" w:ascii="宋体" w:hAnsi="宋体"/>
                <w:color w:val="auto"/>
                <w:sz w:val="24"/>
              </w:rPr>
            </w:pP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名中标候选人，并编写询比采购报告。评审得分相同的，由评审小组磋商确定中标候选人。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询比采购报告应当由评审小组全体人员签字认可。评审小组成员对询比采购报告有异议的，评审小组按照少数服从多数的原则推荐中标候选人，</w:t>
      </w:r>
      <w:r>
        <w:rPr>
          <w:rFonts w:hint="eastAsia" w:ascii="仿宋_GB2312" w:hAnsi="仿宋_GB2312" w:eastAsia="仿宋_GB2312" w:cs="仿宋_GB2312"/>
          <w:color w:val="auto"/>
          <w:sz w:val="32"/>
          <w:szCs w:val="32"/>
          <w:lang w:val="en-US" w:eastAsia="zh-CN"/>
        </w:rPr>
        <w:t>询比采购</w:t>
      </w:r>
      <w:r>
        <w:rPr>
          <w:rFonts w:hint="eastAsia" w:ascii="仿宋_GB2312" w:hAnsi="仿宋_GB2312" w:eastAsia="仿宋_GB2312" w:cs="仿宋_GB2312"/>
          <w:color w:val="auto"/>
          <w:sz w:val="32"/>
          <w:szCs w:val="32"/>
          <w:lang w:val="zh-CN" w:eastAsia="zh-CN"/>
        </w:rPr>
        <w:t>程序继续进行。对询比采购报告有异议的评审小组成员，应当在报告上签署不同意见并说明理由。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评审小组成员拒绝在报告上签字又不书面说明其不同意见和理由的，视为同意询比采购报告。</w:t>
      </w:r>
    </w:p>
    <w:p>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pPr>
        <w:pStyle w:val="11"/>
        <w:rPr>
          <w:rFonts w:hint="eastAsia" w:ascii="仿宋" w:hAnsi="仿宋" w:eastAsia="仿宋" w:cs="仿宋"/>
          <w:b/>
          <w:bCs/>
          <w:color w:val="auto"/>
          <w:sz w:val="40"/>
          <w:szCs w:val="40"/>
          <w:shd w:val="clear" w:color="050000" w:fill="auto"/>
        </w:rPr>
      </w:pPr>
    </w:p>
    <w:p>
      <w:pPr>
        <w:spacing w:line="360" w:lineRule="auto"/>
        <w:jc w:val="center"/>
        <w:rPr>
          <w:rFonts w:hint="eastAsia" w:ascii="仿宋" w:hAnsi="仿宋" w:eastAsia="仿宋" w:cs="仿宋"/>
          <w:b/>
          <w:color w:val="auto"/>
          <w:sz w:val="40"/>
          <w:szCs w:val="40"/>
          <w:shd w:val="clear" w:color="060000" w:fill="auto"/>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74185203"/>
      <w:bookmarkStart w:id="7" w:name="_Toc184023138"/>
      <w:bookmarkStart w:id="8" w:name="_Toc186274126"/>
    </w:p>
    <w:p>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pPr>
        <w:spacing w:line="560" w:lineRule="exact"/>
        <w:jc w:val="center"/>
        <w:rPr>
          <w:rFonts w:hint="default" w:ascii="方正小标宋简体" w:hAnsi="方正小标宋简体" w:eastAsia="方正小标宋简体" w:cs="方正小标宋简体"/>
          <w:bCs/>
          <w:color w:val="auto"/>
          <w:sz w:val="44"/>
          <w:szCs w:val="44"/>
          <w:lang w:val="en-US" w:eastAsia="zh-CN"/>
        </w:rPr>
      </w:pPr>
    </w:p>
    <w:p>
      <w:pPr>
        <w:spacing w:line="56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金叶鹿鸣花园《可行性研究报告》编制项目</w:t>
      </w:r>
    </w:p>
    <w:p>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val="en-US" w:eastAsia="zh-CN"/>
        </w:rPr>
        <w:t>比选</w:t>
      </w:r>
      <w:r>
        <w:rPr>
          <w:rFonts w:hint="eastAsia" w:ascii="方正小标宋简体" w:hAnsi="方正小标宋简体" w:eastAsia="方正小标宋简体" w:cs="方正小标宋简体"/>
          <w:bCs/>
          <w:color w:val="auto"/>
          <w:sz w:val="44"/>
          <w:szCs w:val="44"/>
        </w:rPr>
        <w:t>邀请函</w:t>
      </w:r>
    </w:p>
    <w:p>
      <w:pPr>
        <w:jc w:val="cente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pP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pPr>
        <w:jc w:val="center"/>
        <w:rPr>
          <w:rFonts w:hint="eastAsia" w:ascii="仿宋" w:hAnsi="仿宋" w:eastAsia="仿宋" w:cs="仿宋"/>
          <w:b/>
          <w:color w:val="auto"/>
          <w:spacing w:val="60"/>
          <w:sz w:val="28"/>
          <w:szCs w:val="28"/>
          <w:shd w:val="clear" w:color="060000" w:fill="auto"/>
          <w:lang w:eastAsia="zh-CN"/>
        </w:rPr>
      </w:pPr>
      <w:r>
        <w:rPr>
          <w:rFonts w:hint="eastAsia" w:ascii="仿宋" w:hAnsi="仿宋" w:eastAsia="仿宋" w:cs="仿宋"/>
          <w:b/>
          <w:color w:val="auto"/>
          <w:spacing w:val="60"/>
          <w:sz w:val="28"/>
          <w:szCs w:val="28"/>
          <w:shd w:val="clear" w:color="060000" w:fill="auto"/>
          <w:lang w:eastAsia="zh-CN"/>
        </w:rPr>
        <w:t>（</w:t>
      </w:r>
      <w:r>
        <w:rPr>
          <w:rFonts w:hint="eastAsia" w:ascii="仿宋" w:hAnsi="仿宋" w:eastAsia="仿宋" w:cs="仿宋"/>
          <w:b/>
          <w:color w:val="auto"/>
          <w:spacing w:val="60"/>
          <w:sz w:val="28"/>
          <w:szCs w:val="28"/>
          <w:shd w:val="clear" w:color="060000" w:fill="auto"/>
          <w:lang w:val="en-US" w:eastAsia="zh-CN"/>
        </w:rPr>
        <w:t>项目编号：</w:t>
      </w:r>
      <w:r>
        <w:rPr>
          <w:rFonts w:hint="eastAsia" w:ascii="仿宋" w:hAnsi="仿宋" w:eastAsia="仿宋" w:cs="仿宋"/>
          <w:b/>
          <w:color w:val="auto"/>
          <w:spacing w:val="60"/>
          <w:sz w:val="28"/>
          <w:szCs w:val="28"/>
          <w:shd w:val="clear" w:color="060000" w:fill="auto"/>
          <w:lang w:val="en-US" w:eastAsia="zh-CN"/>
        </w:rPr>
        <w:t>20240329号</w:t>
      </w:r>
      <w:r>
        <w:rPr>
          <w:rFonts w:hint="eastAsia" w:ascii="仿宋" w:hAnsi="仿宋" w:eastAsia="仿宋" w:cs="仿宋"/>
          <w:b/>
          <w:color w:val="auto"/>
          <w:spacing w:val="60"/>
          <w:sz w:val="28"/>
          <w:szCs w:val="28"/>
          <w:shd w:val="clear" w:color="060000" w:fill="auto"/>
          <w:lang w:eastAsia="zh-CN"/>
        </w:rPr>
        <w:t>）</w:t>
      </w:r>
    </w:p>
    <w:p>
      <w:pPr>
        <w:jc w:val="center"/>
        <w:rPr>
          <w:rFonts w:hint="eastAsia" w:ascii="仿宋" w:hAnsi="仿宋" w:eastAsia="仿宋" w:cs="仿宋"/>
          <w:color w:val="auto"/>
          <w:sz w:val="28"/>
          <w:szCs w:val="28"/>
          <w:shd w:val="clear" w:color="050000" w:fill="auto"/>
        </w:rPr>
      </w:pPr>
    </w:p>
    <w:p>
      <w:pPr>
        <w:jc w:val="center"/>
        <w:rPr>
          <w:rFonts w:hint="eastAsia" w:ascii="仿宋" w:hAnsi="仿宋" w:eastAsia="仿宋" w:cs="仿宋"/>
          <w:color w:val="auto"/>
          <w:sz w:val="28"/>
          <w:szCs w:val="28"/>
          <w:shd w:val="clear" w:color="050000" w:fill="auto"/>
        </w:rPr>
      </w:pPr>
    </w:p>
    <w:p>
      <w:pPr>
        <w:rPr>
          <w:rFonts w:hint="eastAsia" w:ascii="仿宋" w:hAnsi="仿宋" w:eastAsia="仿宋" w:cs="仿宋"/>
          <w:color w:val="auto"/>
          <w:sz w:val="28"/>
          <w:szCs w:val="28"/>
          <w:shd w:val="clear" w:color="050000" w:fill="auto"/>
        </w:rPr>
      </w:pPr>
    </w:p>
    <w:p>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pPr>
        <w:pStyle w:val="3"/>
        <w:numPr>
          <w:ilvl w:val="1"/>
          <w:numId w:val="0"/>
        </w:numPr>
        <w:rPr>
          <w:rFonts w:hint="eastAsia" w:ascii="仿宋" w:hAnsi="仿宋" w:eastAsia="仿宋" w:cs="仿宋"/>
          <w:color w:val="auto"/>
          <w:sz w:val="32"/>
          <w:szCs w:val="32"/>
        </w:rPr>
      </w:pPr>
    </w:p>
    <w:p>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pPr>
        <w:pStyle w:val="9"/>
        <w:spacing w:line="360" w:lineRule="auto"/>
        <w:jc w:val="center"/>
        <w:rPr>
          <w:rFonts w:hint="eastAsia" w:ascii="仿宋" w:hAnsi="仿宋" w:eastAsia="仿宋" w:cs="仿宋"/>
          <w:b/>
          <w:snapToGrid w:val="0"/>
          <w:color w:val="auto"/>
          <w:kern w:val="0"/>
          <w:sz w:val="36"/>
          <w:szCs w:val="36"/>
          <w:lang w:val="zh-CN" w:eastAsia="zh-CN"/>
        </w:rPr>
      </w:pPr>
    </w:p>
    <w:p>
      <w:pPr>
        <w:pStyle w:val="9"/>
        <w:spacing w:line="360" w:lineRule="auto"/>
        <w:jc w:val="center"/>
        <w:rPr>
          <w:rFonts w:hint="eastAsia" w:ascii="仿宋" w:hAnsi="仿宋" w:eastAsia="仿宋" w:cs="仿宋"/>
          <w:b/>
          <w:snapToGrid w:val="0"/>
          <w:color w:val="auto"/>
          <w:kern w:val="0"/>
          <w:sz w:val="36"/>
          <w:szCs w:val="36"/>
          <w:lang w:val="zh-CN" w:eastAsia="zh-CN"/>
        </w:rPr>
      </w:pPr>
    </w:p>
    <w:p>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营业执照等（或咨询服务执业许可材料）</w:t>
            </w:r>
          </w:p>
        </w:tc>
        <w:tc>
          <w:tcPr>
            <w:tcW w:w="1583"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咨询</w:t>
            </w:r>
            <w:r>
              <w:rPr>
                <w:rFonts w:hint="eastAsia" w:ascii="仿宋" w:hAnsi="仿宋" w:eastAsia="仿宋" w:cs="仿宋"/>
                <w:color w:val="auto"/>
                <w:kern w:val="0"/>
                <w:sz w:val="22"/>
                <w:szCs w:val="22"/>
                <w:highlight w:val="none"/>
                <w:lang w:eastAsia="zh-CN"/>
              </w:rPr>
              <w:t>服务方案</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咨询合同证明材料</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bl>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pStyle w:val="14"/>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14"/>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2"/>
        <w:rPr>
          <w:rFonts w:hint="eastAsia"/>
          <w:color w:val="auto"/>
        </w:rPr>
      </w:pPr>
    </w:p>
    <w:p>
      <w:pPr>
        <w:rPr>
          <w:rFonts w:hint="eastAsia" w:ascii="仿宋" w:hAnsi="仿宋" w:eastAsia="仿宋" w:cs="仿宋"/>
          <w:color w:val="auto"/>
          <w:sz w:val="24"/>
          <w:szCs w:val="24"/>
        </w:rPr>
      </w:pPr>
    </w:p>
    <w:p>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pPr>
        <w:pStyle w:val="9"/>
        <w:spacing w:line="360" w:lineRule="auto"/>
        <w:jc w:val="center"/>
        <w:rPr>
          <w:rFonts w:hint="eastAsia" w:ascii="仿宋" w:hAnsi="仿宋" w:eastAsia="仿宋" w:cs="仿宋"/>
          <w:b/>
          <w:snapToGrid w:val="0"/>
          <w:color w:val="auto"/>
          <w:kern w:val="0"/>
          <w:sz w:val="24"/>
          <w:szCs w:val="24"/>
        </w:rPr>
      </w:pPr>
    </w:p>
    <w:p>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日期：年月日</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pPr>
        <w:autoSpaceDE w:val="0"/>
        <w:autoSpaceDN w:val="0"/>
        <w:adjustRightInd w:val="0"/>
        <w:spacing w:line="480" w:lineRule="auto"/>
        <w:rPr>
          <w:rFonts w:hint="eastAsia" w:ascii="仿宋" w:hAnsi="仿宋" w:eastAsia="仿宋" w:cs="仿宋"/>
          <w:color w:val="auto"/>
          <w:sz w:val="24"/>
          <w:szCs w:val="24"/>
          <w:lang w:val="zh-CN"/>
        </w:rPr>
      </w:pP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pStyle w:val="3"/>
        <w:numPr>
          <w:ilvl w:val="1"/>
          <w:numId w:val="0"/>
        </w:numPr>
        <w:rPr>
          <w:rFonts w:hint="eastAsia"/>
          <w:color w:val="auto"/>
          <w:lang w:val="zh-CN"/>
        </w:rPr>
      </w:pPr>
    </w:p>
    <w:p>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pPr>
        <w:pStyle w:val="14"/>
        <w:rPr>
          <w:rFonts w:hint="eastAsia" w:ascii="仿宋" w:hAnsi="仿宋" w:eastAsia="仿宋" w:cs="仿宋"/>
          <w:color w:val="auto"/>
          <w:sz w:val="24"/>
          <w:szCs w:val="24"/>
          <w:lang w:val="zh-CN"/>
        </w:rPr>
      </w:pPr>
    </w:p>
    <w:p>
      <w:pPr>
        <w:spacing w:line="480" w:lineRule="exact"/>
        <w:jc w:val="center"/>
        <w:rPr>
          <w:rFonts w:hint="eastAsia" w:ascii="仿宋" w:hAnsi="仿宋" w:eastAsia="仿宋" w:cs="仿宋"/>
          <w:b/>
          <w:bCs/>
          <w:color w:val="auto"/>
          <w:sz w:val="24"/>
          <w:szCs w:val="24"/>
        </w:rPr>
      </w:pPr>
    </w:p>
    <w:p>
      <w:pPr>
        <w:pStyle w:val="9"/>
        <w:spacing w:line="360" w:lineRule="auto"/>
        <w:jc w:val="center"/>
        <w:rPr>
          <w:rFonts w:hint="eastAsia" w:ascii="仿宋" w:hAnsi="仿宋" w:eastAsia="仿宋" w:cs="仿宋"/>
          <w:b/>
          <w:snapToGrid w:val="0"/>
          <w:color w:val="auto"/>
          <w:kern w:val="0"/>
          <w:sz w:val="36"/>
          <w:szCs w:val="36"/>
          <w:lang w:eastAsia="zh-CN"/>
        </w:rPr>
      </w:pPr>
    </w:p>
    <w:p>
      <w:pPr>
        <w:pStyle w:val="9"/>
        <w:spacing w:line="360" w:lineRule="auto"/>
        <w:jc w:val="center"/>
        <w:rPr>
          <w:rFonts w:hint="eastAsia" w:ascii="仿宋" w:hAnsi="仿宋" w:eastAsia="仿宋" w:cs="仿宋"/>
          <w:b/>
          <w:snapToGrid w:val="0"/>
          <w:color w:val="auto"/>
          <w:kern w:val="0"/>
          <w:sz w:val="36"/>
          <w:szCs w:val="36"/>
          <w:lang w:eastAsia="zh-CN"/>
        </w:rPr>
      </w:pPr>
    </w:p>
    <w:p>
      <w:pPr>
        <w:pStyle w:val="9"/>
        <w:spacing w:line="360" w:lineRule="auto"/>
        <w:jc w:val="center"/>
        <w:rPr>
          <w:rFonts w:hint="eastAsia" w:ascii="仿宋" w:hAnsi="仿宋" w:eastAsia="仿宋" w:cs="仿宋"/>
          <w:b/>
          <w:snapToGrid w:val="0"/>
          <w:color w:val="auto"/>
          <w:kern w:val="0"/>
          <w:sz w:val="36"/>
          <w:szCs w:val="36"/>
          <w:lang w:eastAsia="zh-CN"/>
        </w:rPr>
      </w:pPr>
    </w:p>
    <w:p>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pPr>
        <w:jc w:val="left"/>
        <w:rPr>
          <w:rFonts w:hint="eastAsia" w:ascii="仿宋" w:hAnsi="仿宋" w:eastAsia="仿宋" w:cs="仿宋"/>
          <w:b/>
          <w:bCs/>
          <w:color w:val="auto"/>
          <w:sz w:val="24"/>
          <w:szCs w:val="24"/>
        </w:rPr>
      </w:pPr>
    </w:p>
    <w:p>
      <w:pPr>
        <w:jc w:val="center"/>
        <w:rPr>
          <w:rFonts w:hint="eastAsia" w:ascii="仿宋" w:hAnsi="仿宋" w:eastAsia="仿宋" w:cs="仿宋"/>
          <w:b/>
          <w:bCs/>
          <w:color w:val="auto"/>
          <w:sz w:val="24"/>
          <w:szCs w:val="24"/>
          <w:lang w:val="en-US" w:eastAsia="zh-CN"/>
        </w:rPr>
      </w:pPr>
    </w:p>
    <w:p>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附营业执照等（或咨询服务执业许可材料）</w:t>
      </w: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pPr>
        <w:autoSpaceDE w:val="0"/>
        <w:autoSpaceDN w:val="0"/>
        <w:adjustRightInd w:val="0"/>
        <w:spacing w:line="360" w:lineRule="auto"/>
        <w:jc w:val="center"/>
        <w:rPr>
          <w:rFonts w:hint="eastAsia" w:ascii="仿宋" w:hAnsi="仿宋" w:eastAsia="仿宋" w:cs="仿宋"/>
          <w:b/>
          <w:bCs/>
          <w:color w:val="auto"/>
          <w:sz w:val="24"/>
          <w:szCs w:val="24"/>
        </w:rPr>
      </w:pP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致</w:t>
      </w:r>
      <w:r>
        <w:rPr>
          <w:rFonts w:hint="eastAsia" w:ascii="仿宋" w:hAnsi="仿宋" w:eastAsia="仿宋" w:cs="仿宋"/>
          <w:color w:val="auto"/>
          <w:kern w:val="0"/>
          <w:sz w:val="28"/>
          <w:szCs w:val="28"/>
          <w:u w:val="single"/>
          <w:lang w:val="en-US" w:eastAsia="zh-CN" w:bidi="ar"/>
        </w:rPr>
        <w:t>河南天门置业有限公司</w:t>
      </w:r>
      <w:r>
        <w:rPr>
          <w:rFonts w:hint="eastAsia" w:ascii="仿宋" w:hAnsi="仿宋" w:eastAsia="仿宋" w:cs="仿宋"/>
          <w:color w:val="auto"/>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询比采购活动，严格遵守相关咨询服务认证法规，依法诚信经营，无条件遵守本次询比采购活动的各项规定，我单位（本人）郑重承诺，我单位符合《中华人民共和国政府采购法》第二十二条规定和招标文件、本承诺书的条件：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（四）符合咨询服务资格、行政法规规定的其他条件。</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（五）未被中国银行间市场交易商协会取消、暂停会员资格或出现被处罚等影响本次债务融资工具咨询服务能力的情况。</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在两年内禁止参加城投集团及子公司的所有招标（询比采购）活动</w:t>
      </w:r>
      <w:r>
        <w:rPr>
          <w:rFonts w:hint="eastAsia" w:ascii="仿宋" w:hAnsi="仿宋" w:eastAsia="仿宋" w:cs="仿宋"/>
          <w:color w:val="auto"/>
          <w:kern w:val="0"/>
          <w:sz w:val="28"/>
          <w:szCs w:val="28"/>
          <w:lang w:val="en-US" w:eastAsia="zh-CN" w:bidi="ar"/>
        </w:rPr>
        <w:t xml:space="preserve">。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rPr>
          <w:rFonts w:hint="eastAsia" w:ascii="仿宋" w:hAnsi="仿宋" w:eastAsia="仿宋" w:cs="仿宋"/>
          <w:color w:val="auto"/>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both"/>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咨询服务</w:t>
      </w:r>
      <w:r>
        <w:rPr>
          <w:rFonts w:hint="eastAsia" w:ascii="仿宋" w:hAnsi="仿宋" w:eastAsia="仿宋" w:cs="仿宋"/>
          <w:b/>
          <w:bCs/>
          <w:color w:val="auto"/>
          <w:sz w:val="28"/>
          <w:szCs w:val="28"/>
          <w:highlight w:val="none"/>
          <w:lang w:val="zh-CN"/>
        </w:rPr>
        <w:t>从业资格证明文件）</w:t>
      </w:r>
    </w:p>
    <w:p>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9"/>
        <w:spacing w:line="360" w:lineRule="auto"/>
        <w:jc w:val="center"/>
        <w:rPr>
          <w:rFonts w:hint="eastAsia" w:ascii="仿宋" w:hAnsi="仿宋" w:eastAsia="仿宋" w:cs="仿宋"/>
          <w:b/>
          <w:bCs/>
          <w:color w:val="auto"/>
          <w:sz w:val="28"/>
          <w:szCs w:val="28"/>
          <w:highlight w:val="none"/>
        </w:rPr>
      </w:pPr>
    </w:p>
    <w:p>
      <w:pPr>
        <w:pStyle w:val="9"/>
        <w:spacing w:line="360" w:lineRule="auto"/>
        <w:jc w:val="center"/>
        <w:rPr>
          <w:rFonts w:hint="eastAsia" w:ascii="仿宋" w:hAnsi="仿宋" w:eastAsia="仿宋" w:cs="仿宋"/>
          <w:b/>
          <w:bCs/>
          <w:color w:val="auto"/>
          <w:sz w:val="28"/>
          <w:szCs w:val="28"/>
          <w:highlight w:val="none"/>
        </w:rPr>
      </w:pPr>
    </w:p>
    <w:p>
      <w:pPr>
        <w:pStyle w:val="9"/>
        <w:spacing w:line="360" w:lineRule="auto"/>
        <w:jc w:val="center"/>
        <w:rPr>
          <w:rFonts w:hint="eastAsia" w:ascii="仿宋" w:hAnsi="仿宋" w:eastAsia="仿宋" w:cs="仿宋"/>
          <w:b/>
          <w:bCs/>
          <w:color w:val="auto"/>
          <w:sz w:val="28"/>
          <w:szCs w:val="28"/>
          <w:highlight w:val="none"/>
        </w:rPr>
      </w:pPr>
    </w:p>
    <w:p>
      <w:pPr>
        <w:rPr>
          <w:rFonts w:hint="eastAsia" w:ascii="仿宋" w:hAnsi="仿宋" w:eastAsia="仿宋" w:cs="仿宋"/>
          <w:color w:val="auto"/>
          <w:sz w:val="20"/>
          <w:szCs w:val="18"/>
          <w:highlight w:val="none"/>
        </w:rPr>
      </w:pPr>
    </w:p>
    <w:p>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5.2咨询服务方案</w:t>
      </w:r>
    </w:p>
    <w:p>
      <w:pPr>
        <w:pStyle w:val="9"/>
        <w:spacing w:line="360" w:lineRule="auto"/>
        <w:jc w:val="center"/>
        <w:rPr>
          <w:rFonts w:hint="eastAsia" w:ascii="仿宋" w:hAnsi="仿宋" w:eastAsia="仿宋" w:cs="仿宋"/>
          <w:b/>
          <w:bCs/>
          <w:color w:val="auto"/>
          <w:sz w:val="28"/>
          <w:szCs w:val="28"/>
          <w:highlight w:val="none"/>
        </w:rPr>
      </w:pPr>
    </w:p>
    <w:p>
      <w:pPr>
        <w:pStyle w:val="9"/>
        <w:spacing w:line="360" w:lineRule="auto"/>
        <w:jc w:val="both"/>
        <w:rPr>
          <w:rFonts w:hint="eastAsia" w:ascii="仿宋" w:hAnsi="仿宋" w:eastAsia="仿宋" w:cs="仿宋"/>
          <w:b/>
          <w:bCs/>
          <w:color w:val="auto"/>
          <w:sz w:val="28"/>
          <w:szCs w:val="28"/>
          <w:highlight w:val="none"/>
        </w:rPr>
      </w:pPr>
    </w:p>
    <w:p>
      <w:pPr>
        <w:pStyle w:val="9"/>
        <w:spacing w:line="360" w:lineRule="auto"/>
        <w:jc w:val="both"/>
        <w:rPr>
          <w:rFonts w:hint="eastAsia" w:ascii="仿宋" w:hAnsi="仿宋" w:eastAsia="仿宋" w:cs="仿宋"/>
          <w:b/>
          <w:bCs/>
          <w:color w:val="auto"/>
          <w:sz w:val="28"/>
          <w:szCs w:val="28"/>
          <w:highlight w:val="none"/>
        </w:rPr>
      </w:pPr>
    </w:p>
    <w:p>
      <w:pPr>
        <w:pStyle w:val="9"/>
        <w:spacing w:line="360" w:lineRule="auto"/>
        <w:jc w:val="both"/>
        <w:rPr>
          <w:rFonts w:hint="eastAsia" w:ascii="仿宋" w:hAnsi="仿宋" w:eastAsia="仿宋" w:cs="仿宋"/>
          <w:b/>
          <w:bCs/>
          <w:color w:val="auto"/>
          <w:sz w:val="28"/>
          <w:szCs w:val="28"/>
          <w:highlight w:val="none"/>
        </w:rPr>
      </w:pPr>
    </w:p>
    <w:p>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5.3咨询服务证明材料</w:t>
      </w: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pPr>
        <w:pStyle w:val="9"/>
        <w:spacing w:line="360" w:lineRule="auto"/>
        <w:jc w:val="center"/>
        <w:rPr>
          <w:rFonts w:hint="eastAsia" w:ascii="仿宋" w:hAnsi="仿宋" w:eastAsia="仿宋" w:cs="仿宋"/>
          <w:b/>
          <w:bCs/>
          <w:color w:val="auto"/>
          <w:sz w:val="28"/>
          <w:szCs w:val="28"/>
          <w:highlight w:val="none"/>
        </w:rPr>
      </w:pPr>
    </w:p>
    <w:p>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询比采购文件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pPr>
        <w:rPr>
          <w:rFonts w:hint="eastAsia" w:ascii="仿宋" w:hAnsi="仿宋" w:eastAsia="仿宋" w:cs="仿宋"/>
          <w:color w:val="auto"/>
          <w:sz w:val="20"/>
          <w:szCs w:val="18"/>
          <w:highlight w:val="none"/>
        </w:rPr>
      </w:pPr>
    </w:p>
    <w:p>
      <w:pPr>
        <w:rPr>
          <w:rFonts w:hint="eastAsia" w:ascii="仿宋" w:hAnsi="仿宋" w:eastAsia="仿宋" w:cs="仿宋"/>
          <w:color w:val="auto"/>
          <w:sz w:val="20"/>
          <w:szCs w:val="18"/>
          <w:highlight w:val="none"/>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rPr>
          <w:color w:val="auto"/>
        </w:rPr>
      </w:pPr>
      <w:r>
        <w:rPr>
          <w:rFonts w:hint="eastAsia" w:ascii="仿宋" w:hAnsi="仿宋" w:eastAsia="仿宋" w:cs="仿宋"/>
          <w:b/>
          <w:color w:val="auto"/>
          <w:sz w:val="36"/>
          <w:szCs w:val="36"/>
          <w:shd w:val="clear" w:color="060000" w:fill="auto"/>
          <w:lang w:eastAsia="zh-CN"/>
        </w:rPr>
        <w:t>注：投标文件首页加盖</w:t>
      </w:r>
      <w:bookmarkStart w:id="9" w:name="_GoBack"/>
      <w:bookmarkEnd w:id="9"/>
      <w:r>
        <w:rPr>
          <w:rFonts w:hint="eastAsia" w:ascii="仿宋" w:hAnsi="仿宋" w:eastAsia="仿宋" w:cs="仿宋"/>
          <w:b/>
          <w:color w:val="auto"/>
          <w:sz w:val="36"/>
          <w:szCs w:val="36"/>
          <w:shd w:val="clear" w:color="060000" w:fill="auto"/>
          <w:lang w:eastAsia="zh-CN"/>
        </w:rPr>
        <w:t>公章，并加盖骑缝章。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0</w:t>
                    </w:r>
                    <w:r>
                      <w:fldChar w:fldCharType="end"/>
                    </w:r>
                  </w:p>
                </w:txbxContent>
              </v:textbox>
            </v:shape>
          </w:pict>
        </mc:Fallback>
      </mc:AlternateConten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ZWQwMDhhN2RmNmQ2NWEzMzYxM2E5ZmY1N2YwMTAifQ=="/>
  </w:docVars>
  <w:rsids>
    <w:rsidRoot w:val="00000000"/>
    <w:rsid w:val="00E97C2E"/>
    <w:rsid w:val="00F00C3A"/>
    <w:rsid w:val="02FC45A7"/>
    <w:rsid w:val="04021749"/>
    <w:rsid w:val="059D30B6"/>
    <w:rsid w:val="06104A21"/>
    <w:rsid w:val="085A5FF7"/>
    <w:rsid w:val="0949606C"/>
    <w:rsid w:val="09DE0417"/>
    <w:rsid w:val="0F004A9B"/>
    <w:rsid w:val="0F27553F"/>
    <w:rsid w:val="0F791428"/>
    <w:rsid w:val="1360023A"/>
    <w:rsid w:val="14D507B4"/>
    <w:rsid w:val="17175B61"/>
    <w:rsid w:val="1EB84FB4"/>
    <w:rsid w:val="22130EA0"/>
    <w:rsid w:val="23911ECE"/>
    <w:rsid w:val="23F8720B"/>
    <w:rsid w:val="25846482"/>
    <w:rsid w:val="259020DD"/>
    <w:rsid w:val="25EB1F94"/>
    <w:rsid w:val="2AA76515"/>
    <w:rsid w:val="2BCE666F"/>
    <w:rsid w:val="2BF87ED1"/>
    <w:rsid w:val="2C0D6146"/>
    <w:rsid w:val="2CC12172"/>
    <w:rsid w:val="2E4862BB"/>
    <w:rsid w:val="310444A3"/>
    <w:rsid w:val="32382BF4"/>
    <w:rsid w:val="376173AB"/>
    <w:rsid w:val="3AC9229B"/>
    <w:rsid w:val="3BE61A23"/>
    <w:rsid w:val="3C1A7270"/>
    <w:rsid w:val="3DC33DF0"/>
    <w:rsid w:val="3DCD7A37"/>
    <w:rsid w:val="409F25A6"/>
    <w:rsid w:val="42A3719F"/>
    <w:rsid w:val="44396802"/>
    <w:rsid w:val="444F192C"/>
    <w:rsid w:val="44E26451"/>
    <w:rsid w:val="45282B95"/>
    <w:rsid w:val="45440D98"/>
    <w:rsid w:val="458435F4"/>
    <w:rsid w:val="45C937D0"/>
    <w:rsid w:val="47F839E2"/>
    <w:rsid w:val="49164ABC"/>
    <w:rsid w:val="49D0470F"/>
    <w:rsid w:val="4A952DAE"/>
    <w:rsid w:val="4B66509A"/>
    <w:rsid w:val="4CD53C0E"/>
    <w:rsid w:val="4DE2074E"/>
    <w:rsid w:val="4E994B9F"/>
    <w:rsid w:val="4F625BA7"/>
    <w:rsid w:val="50447F7A"/>
    <w:rsid w:val="51583D23"/>
    <w:rsid w:val="52360357"/>
    <w:rsid w:val="552C446C"/>
    <w:rsid w:val="56312D95"/>
    <w:rsid w:val="56CE3AA9"/>
    <w:rsid w:val="56FC732B"/>
    <w:rsid w:val="57376C93"/>
    <w:rsid w:val="57BA4624"/>
    <w:rsid w:val="57BF3FA4"/>
    <w:rsid w:val="58555460"/>
    <w:rsid w:val="5E2C6C63"/>
    <w:rsid w:val="60372166"/>
    <w:rsid w:val="608E4C5E"/>
    <w:rsid w:val="60D54EE6"/>
    <w:rsid w:val="65031DA0"/>
    <w:rsid w:val="65BB5819"/>
    <w:rsid w:val="686B482C"/>
    <w:rsid w:val="688C217B"/>
    <w:rsid w:val="6CF07C20"/>
    <w:rsid w:val="6DBF6C55"/>
    <w:rsid w:val="6DD864C0"/>
    <w:rsid w:val="72C154D1"/>
    <w:rsid w:val="73AC5621"/>
    <w:rsid w:val="73AD7AA7"/>
    <w:rsid w:val="73B47087"/>
    <w:rsid w:val="741B1AD7"/>
    <w:rsid w:val="751B597F"/>
    <w:rsid w:val="758D193E"/>
    <w:rsid w:val="75DD668E"/>
    <w:rsid w:val="770025E3"/>
    <w:rsid w:val="78441ADC"/>
    <w:rsid w:val="788E0646"/>
    <w:rsid w:val="79351E88"/>
    <w:rsid w:val="7D4A0A5C"/>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customStyle="1" w:styleId="5">
    <w:name w:val="style4"/>
    <w:basedOn w:val="1"/>
    <w:next w:val="6"/>
    <w:qFormat/>
    <w:uiPriority w:val="0"/>
    <w:pPr>
      <w:widowControl/>
      <w:spacing w:before="280" w:after="280"/>
    </w:pPr>
    <w:rPr>
      <w:rFonts w:ascii="宋体"/>
      <w:sz w:val="18"/>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qFormat/>
    <w:uiPriority w:val="0"/>
    <w:pPr>
      <w:adjustRightInd w:val="0"/>
      <w:spacing w:after="120" w:line="360" w:lineRule="atLeast"/>
      <w:ind w:left="420" w:leftChars="200"/>
      <w:jc w:val="left"/>
      <w:textAlignment w:val="baseline"/>
    </w:pPr>
    <w:rPr>
      <w:sz w:val="24"/>
    </w:rPr>
  </w:style>
  <w:style w:type="paragraph" w:styleId="8">
    <w:name w:val="envelope return"/>
    <w:basedOn w:val="1"/>
    <w:unhideWhenUsed/>
    <w:qFormat/>
    <w:uiPriority w:val="99"/>
    <w:pPr>
      <w:snapToGrid w:val="0"/>
    </w:pPr>
    <w:rPr>
      <w:rFonts w:ascii="Arial" w:hAnsi="Arial"/>
    </w:rPr>
  </w:style>
  <w:style w:type="paragraph" w:styleId="9">
    <w:name w:val="Plain Text"/>
    <w:basedOn w:val="1"/>
    <w:qFormat/>
    <w:uiPriority w:val="0"/>
    <w:rPr>
      <w:sz w:val="24"/>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2">
    <w:name w:val="List"/>
    <w:basedOn w:val="1"/>
    <w:qFormat/>
    <w:uiPriority w:val="0"/>
    <w:pPr>
      <w:ind w:left="420" w:hanging="420"/>
    </w:pPr>
    <w:rPr>
      <w:szCs w:val="20"/>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4"/>
    <w:next w:val="15"/>
    <w:qFormat/>
    <w:uiPriority w:val="0"/>
    <w:pPr>
      <w:ind w:firstLine="420" w:firstLineChars="100"/>
    </w:pPr>
    <w:rPr>
      <w:rFonts w:ascii="宋体"/>
      <w:kern w:val="0"/>
      <w:sz w:val="34"/>
    </w:rPr>
  </w:style>
  <w:style w:type="paragraph" w:styleId="15">
    <w:name w:val="Body Text First Indent 2"/>
    <w:basedOn w:val="7"/>
    <w:next w:val="12"/>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4104</Words>
  <Characters>4277</Characters>
  <Lines>0</Lines>
  <Paragraphs>0</Paragraphs>
  <TotalTime>1</TotalTime>
  <ScaleCrop>false</ScaleCrop>
  <LinksUpToDate>false</LinksUpToDate>
  <CharactersWithSpaces>4572</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Administrator</cp:lastModifiedBy>
  <cp:lastPrinted>2023-09-22T08:57:00Z</cp:lastPrinted>
  <dcterms:modified xsi:type="dcterms:W3CDTF">2024-03-30T00:37:36Z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B2A43F008CD043E1942B0834C1357651</vt:lpwstr>
  </property>
</Properties>
</file>