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rPr>
      </w:pP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服务报价单</w:t>
      </w:r>
    </w:p>
    <w:p>
      <w:pPr>
        <w:spacing w:line="560" w:lineRule="exact"/>
        <w:jc w:val="center"/>
        <w:rPr>
          <w:rFonts w:ascii="仿宋_GB2312" w:hAnsi="仿宋" w:eastAsia="仿宋_GB2312" w:cs="仿宋"/>
          <w:b/>
          <w:sz w:val="32"/>
          <w:szCs w:val="32"/>
        </w:rPr>
      </w:pPr>
    </w:p>
    <w:tbl>
      <w:tblPr>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34"/>
        <w:gridCol w:w="5549"/>
      </w:tblGrid>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仿宋_GB2312" w:eastAsia="仿宋_GB2312" w:cs="仿宋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aps w:val="0"/>
                <w:color w:val="333333"/>
                <w:spacing w:val="0"/>
                <w:sz w:val="32"/>
                <w:szCs w:val="32"/>
                <w:highlight w:val="none"/>
                <w:lang w:eastAsia="zh-CN"/>
              </w:rPr>
            </w:pPr>
            <w:r>
              <w:rPr>
                <w:rFonts w:hint="eastAsia" w:ascii="宋体" w:hAnsi="宋体" w:eastAsia="宋体" w:cs="宋体"/>
                <w:b/>
                <w:bCs/>
                <w:i w:val="0"/>
                <w:iCs w:val="0"/>
                <w:caps w:val="0"/>
                <w:color w:val="333333"/>
                <w:spacing w:val="0"/>
                <w:sz w:val="32"/>
                <w:szCs w:val="32"/>
                <w:highlight w:val="none"/>
                <w:lang w:eastAsia="zh-CN"/>
              </w:rPr>
              <w:t>许昌市公交公司客车质量损失</w:t>
            </w:r>
          </w:p>
          <w:p>
            <w:pPr>
              <w:widowControl/>
              <w:spacing w:line="480" w:lineRule="exact"/>
              <w:jc w:val="center"/>
              <w:textAlignment w:val="center"/>
              <w:rPr>
                <w:rFonts w:ascii="仿宋_GB2312" w:hAnsi="仿宋_GB2312" w:eastAsia="仿宋_GB2312" w:cs="仿宋_GB2312"/>
                <w:b/>
                <w:color w:val="000000"/>
                <w:sz w:val="24"/>
              </w:rPr>
            </w:pPr>
            <w:r>
              <w:rPr>
                <w:rFonts w:hint="eastAsia" w:ascii="宋体" w:hAnsi="宋体" w:eastAsia="宋体" w:cs="宋体"/>
                <w:b/>
                <w:bCs/>
                <w:i w:val="0"/>
                <w:iCs w:val="0"/>
                <w:caps w:val="0"/>
                <w:color w:val="333333"/>
                <w:spacing w:val="0"/>
                <w:sz w:val="32"/>
                <w:szCs w:val="32"/>
                <w:highlight w:val="none"/>
                <w:lang w:eastAsia="zh-CN"/>
              </w:rPr>
              <w:t>资产评估项目</w:t>
            </w:r>
          </w:p>
        </w:tc>
      </w:tr>
      <w:tr>
        <w:trPr>
          <w:trHeight w:val="1474" w:hRule="exact"/>
        </w:trPr>
        <w:tc>
          <w:tcPr>
            <w:tcW w:w="3134" w:type="dxa"/>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w:t>
            </w:r>
          </w:p>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（职称</w:t>
            </w:r>
            <w:r>
              <w:rPr>
                <w:rFonts w:hint="eastAsia" w:ascii="仿宋_GB2312" w:hAnsi="宋体" w:eastAsia="仿宋_GB2312" w:cs="仿宋_GB2312"/>
                <w:b/>
                <w:color w:val="000000"/>
                <w:kern w:val="0"/>
                <w:sz w:val="32"/>
                <w:szCs w:val="32"/>
                <w:lang w:eastAsia="zh-CN"/>
              </w:rPr>
              <w:t>、</w:t>
            </w:r>
            <w:r>
              <w:rPr>
                <w:rFonts w:hint="eastAsia" w:ascii="仿宋_GB2312" w:hAnsi="宋体" w:eastAsia="仿宋_GB2312" w:cs="仿宋_GB2312"/>
                <w:b/>
                <w:color w:val="000000"/>
                <w:kern w:val="0"/>
                <w:sz w:val="32"/>
                <w:szCs w:val="32"/>
                <w:lang w:val="en-US" w:eastAsia="zh-CN"/>
              </w:rPr>
              <w:t>执业证书</w:t>
            </w:r>
            <w:r>
              <w:rPr>
                <w:rFonts w:hint="eastAsia" w:ascii="仿宋_GB2312" w:hAnsi="宋体" w:eastAsia="仿宋_GB2312" w:cs="仿宋_GB2312"/>
                <w:b/>
                <w:color w:val="000000"/>
                <w:kern w:val="0"/>
                <w:sz w:val="32"/>
                <w:szCs w:val="32"/>
              </w:rPr>
              <w:t>）</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 xml:space="preserve">     </w:t>
            </w:r>
            <w:r>
              <w:rPr>
                <w:rFonts w:hint="eastAsia" w:ascii="仿宋_GB2312" w:hAnsi="仿宋_GB2312" w:eastAsia="仿宋_GB2312" w:cs="仿宋_GB2312"/>
                <w:sz w:val="32"/>
                <w:szCs w:val="32"/>
              </w:rPr>
              <w:t>****元（含税）</w:t>
            </w:r>
          </w:p>
        </w:tc>
      </w:tr>
    </w:tbl>
    <w:p>
      <w:pPr>
        <w:adjustRightInd w:val="0"/>
        <w:spacing w:line="560" w:lineRule="exact"/>
        <w:ind w:firstLine="640" w:firstLineChars="200"/>
        <w:jc w:val="right"/>
        <w:rPr>
          <w:rFonts w:hint="eastAsia" w:ascii="仿宋_GB2312" w:hAnsi="仿宋_GB2312" w:eastAsia="仿宋_GB2312" w:cs="仿宋_GB2312"/>
          <w:sz w:val="32"/>
          <w:szCs w:val="32"/>
        </w:rPr>
      </w:pPr>
    </w:p>
    <w:p>
      <w:pPr>
        <w:pStyle w:val="3"/>
        <w:ind w:firstLine="5461" w:firstLineChars="1700"/>
        <w:rPr>
          <w:rFonts w:hint="eastAsia" w:ascii="仿宋_GB2312" w:hAnsi="仿宋_GB2312" w:eastAsia="仿宋_GB2312" w:cs="仿宋_GB2312"/>
          <w:szCs w:val="32"/>
        </w:rPr>
      </w:pPr>
      <w:r>
        <w:rPr>
          <w:rFonts w:hint="eastAsia" w:ascii="仿宋_GB2312" w:hAnsi="仿宋_GB2312" w:eastAsia="仿宋_GB2312" w:cs="仿宋_GB2312"/>
          <w:szCs w:val="32"/>
        </w:rPr>
        <w:t>年    月    日</w:t>
      </w:r>
    </w:p>
    <w:p>
      <w:pPr>
        <w:rPr>
          <w:rFonts w:hint="eastAsia" w:ascii="仿宋_GB2312" w:hAnsi="仿宋_GB2312" w:eastAsia="仿宋_GB2312" w:cs="仿宋_GB2312"/>
          <w:szCs w:val="32"/>
        </w:rPr>
      </w:pPr>
    </w:p>
    <w:p>
      <w:pPr>
        <w:pStyle w:val="2"/>
        <w:rPr>
          <w:rFonts w:hint="eastAsia"/>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14"/>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rPr>
        <w:t>评标</w:t>
      </w:r>
      <w:r>
        <w:rPr>
          <w:rFonts w:hint="eastAsia" w:ascii="方正小标宋简体" w:hAnsi="方正小标宋简体" w:eastAsia="方正小标宋简体" w:cs="方正小标宋简体"/>
          <w:b/>
          <w:sz w:val="44"/>
          <w:szCs w:val="44"/>
          <w:lang w:val="zh-CN"/>
        </w:rPr>
        <w:t>标准</w:t>
      </w:r>
    </w:p>
    <w:p>
      <w:pPr>
        <w:spacing w:line="580" w:lineRule="exact"/>
        <w:ind w:firstLine="643" w:firstLineChars="200"/>
        <w:rPr>
          <w:rFonts w:hint="eastAsia"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一、资格审查</w:t>
      </w:r>
    </w:p>
    <w:p>
      <w:pPr>
        <w:spacing w:line="580" w:lineRule="exact"/>
        <w:ind w:firstLine="640" w:firstLineChars="200"/>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rPr>
        <w:t>评审小组对申请人资格进行检查。</w:t>
      </w:r>
      <w:r>
        <w:rPr>
          <w:rFonts w:hint="eastAsia" w:ascii="仿宋_GB2312" w:hAnsi="仿宋_GB2312" w:eastAsia="仿宋_GB2312" w:cs="仿宋_GB2312"/>
          <w:sz w:val="32"/>
          <w:szCs w:val="32"/>
          <w:lang w:val="zh-CN"/>
        </w:rPr>
        <w:t>确定符合资格的</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zh-CN"/>
        </w:rPr>
        <w:t>人不少于</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lang w:val="zh-CN"/>
        </w:rPr>
        <w:t>家后对投标文件进行符合性审查，</w:t>
      </w:r>
      <w:r>
        <w:rPr>
          <w:rFonts w:hint="eastAsia" w:ascii="仿宋_GB2312" w:hAnsi="仿宋_GB2312" w:eastAsia="仿宋_GB2312" w:cs="仿宋_GB2312"/>
          <w:sz w:val="32"/>
          <w:szCs w:val="32"/>
        </w:rPr>
        <w:t>少于三家则本次评标过程无效</w:t>
      </w:r>
      <w:r>
        <w:rPr>
          <w:rFonts w:hint="eastAsia" w:ascii="仿宋_GB2312" w:hAnsi="仿宋_GB2312" w:eastAsia="仿宋_GB2312" w:cs="仿宋_GB2312"/>
          <w:sz w:val="32"/>
          <w:szCs w:val="32"/>
          <w:lang w:val="zh-CN"/>
        </w:rPr>
        <w:t>。</w:t>
      </w:r>
    </w:p>
    <w:p>
      <w:pPr>
        <w:spacing w:line="580" w:lineRule="exact"/>
        <w:ind w:firstLine="643" w:firstLineChars="200"/>
        <w:rPr>
          <w:rFonts w:hint="eastAsia"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二、评审</w:t>
      </w:r>
    </w:p>
    <w:p>
      <w:pPr>
        <w:spacing w:line="580" w:lineRule="exact"/>
        <w:ind w:firstLine="643" w:firstLineChars="200"/>
        <w:rPr>
          <w:rFonts w:hint="eastAsia" w:ascii="楷体_GB2312" w:hAnsi="楷体" w:eastAsia="楷体_GB2312" w:cs="楷体"/>
          <w:b/>
          <w:kern w:val="0"/>
          <w:sz w:val="32"/>
          <w:szCs w:val="32"/>
        </w:rPr>
      </w:pPr>
      <w:r>
        <w:rPr>
          <w:rFonts w:hint="eastAsia" w:ascii="楷体_GB2312" w:hAnsi="楷体" w:eastAsia="楷体_GB2312" w:cs="楷体"/>
          <w:b/>
          <w:kern w:val="0"/>
          <w:sz w:val="32"/>
          <w:szCs w:val="32"/>
        </w:rPr>
        <w:t>（一）评审方法</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本项目采用综合评分法。总分为 </w:t>
      </w:r>
      <w:r>
        <w:rPr>
          <w:rFonts w:hint="eastAsia" w:ascii="Times New Roman" w:hAnsi="Times New Roman" w:eastAsia="仿宋_GB2312" w:cs="仿宋_GB2312"/>
          <w:sz w:val="32"/>
          <w:szCs w:val="32"/>
        </w:rPr>
        <w:t>100</w:t>
      </w:r>
      <w:r>
        <w:rPr>
          <w:rFonts w:hint="eastAsia" w:ascii="仿宋_GB2312" w:hAnsi="仿宋_GB2312" w:eastAsia="仿宋_GB2312" w:cs="仿宋_GB2312"/>
          <w:sz w:val="32"/>
          <w:szCs w:val="32"/>
          <w:lang w:val="zh-CN"/>
        </w:rPr>
        <w:t xml:space="preserve"> 分。</w:t>
      </w:r>
    </w:p>
    <w:p>
      <w:pPr>
        <w:widowControl w:val="0"/>
        <w:wordWrap/>
        <w:adjustRightInd/>
        <w:snapToGrid/>
        <w:spacing w:afterLines="50" w:line="580" w:lineRule="exact"/>
        <w:ind w:firstLine="643" w:firstLineChars="200"/>
        <w:textAlignment w:val="auto"/>
        <w:rPr>
          <w:rFonts w:hint="eastAsia" w:ascii="楷体_GB2312" w:hAnsi="楷体" w:eastAsia="楷体_GB2312" w:cs="楷体"/>
          <w:b/>
          <w:kern w:val="0"/>
          <w:sz w:val="32"/>
          <w:szCs w:val="32"/>
        </w:rPr>
      </w:pPr>
      <w:r>
        <w:rPr>
          <w:rFonts w:hint="eastAsia" w:ascii="楷体_GB2312" w:hAnsi="楷体" w:eastAsia="楷体_GB2312" w:cs="楷体"/>
          <w:b/>
          <w:kern w:val="0"/>
          <w:sz w:val="32"/>
          <w:szCs w:val="32"/>
        </w:rPr>
        <w:t>（二）评分办法</w:t>
      </w:r>
    </w:p>
    <w:tbl>
      <w:tblPr>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6786"/>
      </w:tblGrid>
      <w:tr>
        <w:trPr>
          <w:trHeight w:val="1883" w:hRule="atLeast"/>
          <w:jc w:val="center"/>
        </w:trPr>
        <w:tc>
          <w:tcPr>
            <w:tcW w:w="2063" w:type="dxa"/>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(总分</w:t>
            </w:r>
            <w:r>
              <w:rPr>
                <w:rFonts w:hint="eastAsia" w:ascii="Times New Roman" w:hAnsi="Times New Roman" w:eastAsia="仿宋_GB2312" w:cs="仿宋_GB2312"/>
                <w:b/>
                <w:bCs/>
                <w:sz w:val="32"/>
                <w:szCs w:val="32"/>
              </w:rPr>
              <w:t>100</w:t>
            </w:r>
            <w:r>
              <w:rPr>
                <w:rFonts w:hint="eastAsia" w:ascii="仿宋_GB2312" w:hAnsi="仿宋_GB2312" w:eastAsia="仿宋_GB2312" w:cs="仿宋_GB2312"/>
                <w:b/>
                <w:bCs/>
                <w:sz w:val="32"/>
                <w:szCs w:val="32"/>
                <w:lang w:val="zh-CN"/>
              </w:rPr>
              <w:t>分)</w:t>
            </w:r>
          </w:p>
        </w:tc>
        <w:tc>
          <w:tcPr>
            <w:tcW w:w="6786" w:type="dxa"/>
            <w:vAlign w:val="center"/>
          </w:tcPr>
          <w:p>
            <w:pPr>
              <w:tabs>
                <w:tab w:val="left" w:pos="1260"/>
              </w:tabs>
              <w:autoSpaceDE w:val="0"/>
              <w:autoSpaceDN w:val="0"/>
              <w:adjustRightInd w:val="0"/>
              <w:snapToGrid w:val="0"/>
              <w:spacing w:line="276"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资质部分：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20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30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10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获奖部分：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 xml:space="preserve">10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服务方案</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30</w:t>
            </w:r>
            <w:r>
              <w:rPr>
                <w:rFonts w:hint="eastAsia" w:ascii="仿宋_GB2312" w:hAnsi="仿宋_GB2312" w:eastAsia="仿宋_GB2312" w:cs="仿宋_GB2312"/>
                <w:sz w:val="32"/>
                <w:szCs w:val="32"/>
                <w:u w:val="single"/>
                <w:lang w:val="zh-CN"/>
              </w:rPr>
              <w:t xml:space="preserve"> 分</w:t>
            </w:r>
          </w:p>
        </w:tc>
      </w:tr>
      <w:tr>
        <w:trPr>
          <w:trHeight w:val="726" w:hRule="atLeast"/>
          <w:jc w:val="center"/>
        </w:trPr>
        <w:tc>
          <w:tcPr>
            <w:tcW w:w="2063" w:type="dxa"/>
            <w:tcMar>
              <w:top w:w="0" w:type="dxa"/>
              <w:left w:w="0" w:type="dxa"/>
              <w:bottom w:w="0" w:type="dxa"/>
              <w:right w:w="0" w:type="dxa"/>
            </w:tcMar>
            <w:vAlign w:val="center"/>
          </w:tcPr>
          <w:p>
            <w:pPr>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评审项</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评标标准</w:t>
            </w:r>
          </w:p>
        </w:tc>
      </w:tr>
      <w:tr>
        <w:trPr>
          <w:trHeight w:val="1877" w:hRule="atLeast"/>
          <w:jc w:val="center"/>
        </w:trPr>
        <w:tc>
          <w:tcPr>
            <w:tcW w:w="206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企业资质</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20</w:t>
            </w:r>
            <w:r>
              <w:rPr>
                <w:rFonts w:hint="eastAsia" w:ascii="仿宋_GB2312" w:hAnsi="仿宋_GB2312" w:eastAsia="仿宋_GB2312" w:cs="仿宋_GB2312"/>
                <w:b/>
                <w:bCs/>
                <w:sz w:val="32"/>
                <w:szCs w:val="32"/>
              </w:rPr>
              <w:t>分）</w:t>
            </w:r>
          </w:p>
        </w:tc>
        <w:tc>
          <w:tcPr>
            <w:tcW w:w="6786" w:type="dxa"/>
            <w:tcMar>
              <w:top w:w="0" w:type="dxa"/>
              <w:left w:w="0" w:type="dxa"/>
              <w:bottom w:w="0" w:type="dxa"/>
              <w:right w:w="0" w:type="dxa"/>
            </w:tcMar>
            <w:vAlign w:val="center"/>
          </w:tcPr>
          <w:p>
            <w:pPr>
              <w:numPr>
                <w:ilvl w:val="0"/>
                <w:numId w:val="1"/>
              </w:numPr>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在全国投资项目在线审批监管平台进行工程咨询单位备案</w:t>
            </w:r>
            <w:r>
              <w:rPr>
                <w:rFonts w:hint="eastAsia" w:ascii="仿宋_GB2312" w:hAnsi="仿宋_GB2312" w:eastAsia="仿宋_GB2312" w:cs="仿宋_GB2312"/>
                <w:sz w:val="32"/>
                <w:szCs w:val="32"/>
                <w:lang w:val="zh-CN"/>
              </w:rPr>
              <w:t>；</w:t>
            </w:r>
          </w:p>
          <w:p>
            <w:pPr>
              <w:widowControl/>
              <w:adjustRightInd w:val="0"/>
              <w:snapToGrid w:val="0"/>
              <w:spacing w:line="276" w:lineRule="auto"/>
              <w:jc w:val="left"/>
            </w:pPr>
            <w:r>
              <w:rPr>
                <w:rFonts w:hint="eastAsia" w:ascii="仿宋_GB2312" w:hAnsi="仿宋_GB2312" w:eastAsia="仿宋_GB2312" w:cs="仿宋_GB2312"/>
                <w:sz w:val="32"/>
                <w:szCs w:val="32"/>
              </w:rPr>
              <w:t>2.具备</w:t>
            </w:r>
            <w:r>
              <w:rPr>
                <w:rFonts w:hint="eastAsia" w:ascii="Times New Roman" w:hAnsi="Times New Roman" w:eastAsia="仿宋_GB2312" w:cs="仿宋_GB2312"/>
                <w:sz w:val="32"/>
                <w:szCs w:val="32"/>
              </w:rPr>
              <w:t>ISO9001</w:t>
            </w:r>
            <w:r>
              <w:rPr>
                <w:rFonts w:hint="eastAsia" w:ascii="仿宋_GB2312" w:hAnsi="仿宋_GB2312" w:eastAsia="仿宋_GB2312" w:cs="仿宋_GB2312"/>
                <w:sz w:val="32"/>
                <w:szCs w:val="32"/>
              </w:rPr>
              <w:t>质量管理体系认证证书</w:t>
            </w:r>
            <w:r>
              <w:rPr>
                <w:rFonts w:hint="eastAsia" w:ascii="仿宋_GB2312" w:hAnsi="仿宋_GB2312" w:eastAsia="仿宋_GB2312" w:cs="仿宋_GB2312"/>
                <w:sz w:val="32"/>
                <w:szCs w:val="32"/>
                <w:lang w:val="zh-CN"/>
              </w:rPr>
              <w:t>。</w:t>
            </w:r>
          </w:p>
        </w:tc>
      </w:tr>
      <w:tr>
        <w:trPr>
          <w:trHeight w:val="2011" w:hRule="atLeast"/>
          <w:jc w:val="center"/>
        </w:trPr>
        <w:tc>
          <w:tcPr>
            <w:tcW w:w="206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企业报价</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30</w:t>
            </w:r>
            <w:r>
              <w:rPr>
                <w:rFonts w:hint="eastAsia" w:ascii="仿宋_GB2312" w:hAnsi="仿宋_GB2312" w:eastAsia="仿宋_GB2312" w:cs="仿宋_GB2312"/>
                <w:b/>
                <w:bCs/>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投标报价得分=（基准价/</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zh-CN"/>
              </w:rPr>
              <w:t>报价）×</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lang w:val="zh-CN"/>
              </w:rPr>
              <w:t>分。</w:t>
            </w:r>
          </w:p>
        </w:tc>
      </w:tr>
      <w:tr>
        <w:trPr>
          <w:trHeight w:val="1730" w:hRule="atLeast"/>
          <w:jc w:val="center"/>
        </w:trPr>
        <w:tc>
          <w:tcPr>
            <w:tcW w:w="206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企业业绩</w:t>
            </w:r>
          </w:p>
          <w:p>
            <w:pPr>
              <w:adjustRightInd w:val="0"/>
              <w:snapToGrid w:val="0"/>
              <w:spacing w:line="276"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10</w:t>
            </w:r>
            <w:r>
              <w:rPr>
                <w:rFonts w:hint="eastAsia" w:ascii="仿宋_GB2312" w:hAnsi="仿宋_GB2312" w:eastAsia="仿宋_GB2312" w:cs="仿宋_GB2312"/>
                <w:b/>
                <w:bCs/>
                <w:sz w:val="32"/>
                <w:szCs w:val="32"/>
              </w:rPr>
              <w:t>分）</w:t>
            </w:r>
          </w:p>
        </w:tc>
        <w:tc>
          <w:tcPr>
            <w:tcW w:w="6786" w:type="dxa"/>
            <w:tcMar>
              <w:top w:w="0" w:type="dxa"/>
              <w:left w:w="0" w:type="dxa"/>
              <w:bottom w:w="0" w:type="dxa"/>
              <w:right w:w="0" w:type="dxa"/>
            </w:tcMar>
            <w:vAlign w:val="center"/>
          </w:tcPr>
          <w:p>
            <w:pPr>
              <w:widowControl/>
              <w:adjustRightInd w:val="0"/>
              <w:snapToGrid w:val="0"/>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日以来，具有类似项目可研编制、设计业绩，须提供合同等证明文件（包括合同封面、采购范围页、签字盖章页等扫描件），日期以合同签订日期为准。</w:t>
            </w:r>
          </w:p>
        </w:tc>
      </w:tr>
      <w:tr>
        <w:trPr>
          <w:trHeight w:val="1730" w:hRule="atLeast"/>
          <w:jc w:val="center"/>
        </w:trPr>
        <w:tc>
          <w:tcPr>
            <w:tcW w:w="206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获奖荣誉</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10</w:t>
            </w:r>
            <w:r>
              <w:rPr>
                <w:rFonts w:hint="eastAsia" w:ascii="仿宋_GB2312" w:hAnsi="仿宋_GB2312" w:eastAsia="仿宋_GB2312" w:cs="仿宋_GB2312"/>
                <w:b/>
                <w:bCs/>
                <w:sz w:val="32"/>
                <w:szCs w:val="32"/>
              </w:rPr>
              <w:t>分）</w:t>
            </w:r>
          </w:p>
        </w:tc>
        <w:tc>
          <w:tcPr>
            <w:tcW w:w="6786" w:type="dxa"/>
            <w:tcMar>
              <w:top w:w="0" w:type="dxa"/>
              <w:left w:w="0" w:type="dxa"/>
              <w:bottom w:w="0" w:type="dxa"/>
              <w:right w:w="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日以来，获得过省级及以上建设主管部门或行业协会颁发的有关获奖证书，一等奖得</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分，二等奖得</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分，三等奖得</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分，本项最高得</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注：提供建设主管部门或协会公布获奖项目通知的盖章红头文件的扫描件及证书的原件扫描件（或图片），时间以证书日期为准。</w:t>
            </w:r>
          </w:p>
        </w:tc>
      </w:tr>
      <w:tr>
        <w:trPr>
          <w:trHeight w:val="1730" w:hRule="atLeast"/>
          <w:jc w:val="center"/>
        </w:trPr>
        <w:tc>
          <w:tcPr>
            <w:tcW w:w="206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服务方案</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30</w:t>
            </w:r>
            <w:r>
              <w:rPr>
                <w:rFonts w:hint="eastAsia" w:ascii="仿宋_GB2312" w:hAnsi="仿宋_GB2312" w:eastAsia="仿宋_GB2312" w:cs="仿宋_GB2312"/>
                <w:b/>
                <w:bCs/>
                <w:sz w:val="32"/>
                <w:szCs w:val="32"/>
              </w:rPr>
              <w:t>分）</w:t>
            </w:r>
          </w:p>
        </w:tc>
        <w:tc>
          <w:tcPr>
            <w:tcW w:w="6786" w:type="dxa"/>
            <w:tcMar>
              <w:top w:w="0" w:type="dxa"/>
              <w:left w:w="0" w:type="dxa"/>
              <w:bottom w:w="0" w:type="dxa"/>
              <w:right w:w="0" w:type="dxa"/>
            </w:tcMar>
            <w:vAlign w:val="center"/>
          </w:tcPr>
          <w:p>
            <w:pPr>
              <w:widowControl/>
              <w:adjustRightInd w:val="0"/>
              <w:snapToGrid w:val="0"/>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1.无方案：</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分；</w:t>
            </w:r>
          </w:p>
          <w:p>
            <w:pPr>
              <w:widowControl/>
              <w:adjustRightInd w:val="0"/>
              <w:snapToGrid w:val="0"/>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2.方案一般：</w:t>
            </w:r>
            <w:r>
              <w:rPr>
                <w:rFonts w:hint="eastAsia" w:ascii="Times New Roman" w:hAnsi="Times New Roman" w:eastAsia="仿宋_GB2312" w:cs="仿宋_GB2312"/>
                <w:sz w:val="32"/>
                <w:szCs w:val="32"/>
              </w:rPr>
              <w:t>1-15</w:t>
            </w:r>
            <w:r>
              <w:rPr>
                <w:rFonts w:hint="eastAsia" w:ascii="仿宋_GB2312" w:hAnsi="仿宋_GB2312" w:eastAsia="仿宋_GB2312" w:cs="仿宋_GB2312"/>
                <w:sz w:val="32"/>
                <w:szCs w:val="32"/>
              </w:rPr>
              <w:t>分；</w:t>
            </w:r>
          </w:p>
          <w:p>
            <w:pPr>
              <w:widowControl/>
              <w:adjustRightInd w:val="0"/>
              <w:snapToGrid w:val="0"/>
              <w:spacing w:line="276" w:lineRule="auto"/>
              <w:rPr>
                <w:rFonts w:hint="eastAsia"/>
              </w:rPr>
            </w:pPr>
            <w:r>
              <w:rPr>
                <w:rFonts w:hint="eastAsia" w:ascii="仿宋_GB2312" w:hAnsi="仿宋_GB2312" w:eastAsia="仿宋_GB2312" w:cs="仿宋_GB2312"/>
                <w:sz w:val="32"/>
                <w:szCs w:val="32"/>
              </w:rPr>
              <w:t>3.方案较合理可行：</w:t>
            </w:r>
            <w:r>
              <w:rPr>
                <w:rFonts w:hint="eastAsia" w:ascii="Times New Roman" w:hAnsi="Times New Roman" w:eastAsia="仿宋_GB2312" w:cs="仿宋_GB2312"/>
                <w:sz w:val="32"/>
                <w:szCs w:val="32"/>
              </w:rPr>
              <w:t>16-30</w:t>
            </w:r>
            <w:r>
              <w:rPr>
                <w:rFonts w:hint="eastAsia" w:ascii="仿宋_GB2312" w:hAnsi="仿宋_GB2312" w:eastAsia="仿宋_GB2312" w:cs="仿宋_GB2312"/>
                <w:sz w:val="32"/>
                <w:szCs w:val="32"/>
              </w:rPr>
              <w:t>分。</w:t>
            </w:r>
          </w:p>
        </w:tc>
      </w:tr>
    </w:tbl>
    <w:p>
      <w:pPr>
        <w:spacing w:line="580" w:lineRule="exact"/>
        <w:ind w:firstLine="643" w:firstLineChars="200"/>
        <w:rPr>
          <w:rFonts w:hint="eastAsia" w:ascii="楷体_GB2312" w:hAnsi="楷体" w:eastAsia="楷体_GB2312" w:cs="楷体"/>
          <w:b/>
          <w:kern w:val="0"/>
          <w:sz w:val="32"/>
          <w:szCs w:val="32"/>
        </w:rPr>
      </w:pPr>
      <w:r>
        <w:rPr>
          <w:rFonts w:hint="eastAsia" w:ascii="楷体_GB2312" w:hAnsi="楷体" w:eastAsia="楷体_GB2312" w:cs="楷体"/>
          <w:b/>
          <w:kern w:val="0"/>
          <w:sz w:val="32"/>
          <w:szCs w:val="32"/>
        </w:rPr>
        <w:t>（三）推荐中标候选人</w:t>
      </w:r>
    </w:p>
    <w:p>
      <w:pPr>
        <w:spacing w:line="560"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lang w:val="zh-CN"/>
        </w:rPr>
        <w:t>评审小组根据综合评分情况，按照评审得分由高到低顺序推荐</w:t>
      </w:r>
      <w:r>
        <w:rPr>
          <w:rFonts w:hint="eastAsia" w:ascii="仿宋" w:hAnsi="仿宋" w:eastAsia="仿宋" w:cs="仿宋"/>
          <w:sz w:val="32"/>
          <w:szCs w:val="32"/>
        </w:rPr>
        <w:t>1</w:t>
      </w:r>
      <w:r>
        <w:rPr>
          <w:rFonts w:hint="eastAsia" w:ascii="仿宋" w:hAnsi="仿宋" w:eastAsia="仿宋" w:cs="仿宋"/>
          <w:sz w:val="32"/>
          <w:szCs w:val="32"/>
          <w:lang w:val="zh-CN"/>
        </w:rPr>
        <w:t>名中标候选人。</w:t>
      </w:r>
      <w:r>
        <w:rPr>
          <w:rFonts w:hint="eastAsia" w:ascii="仿宋_GB2312" w:hAnsi="仿宋_GB2312" w:eastAsia="仿宋_GB2312" w:cs="仿宋_GB2312"/>
          <w:sz w:val="32"/>
          <w:szCs w:val="32"/>
        </w:rPr>
        <w:t>如最高得分为两家或两家以上时，由</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人组成的磋商小组进行磋商确定。</w:t>
      </w:r>
    </w:p>
    <w:p/>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
    <w:nsid w:val="00000004"/>
    <w:multiLevelType w:val="singleLevel"/>
    <w:tmpl w:val="00000004"/>
    <w:lvl w:ilvl="0" w:tentative="1">
      <w:start w:val="1"/>
      <w:numFmt w:val="decimal"/>
      <w:lvlText w:val="%1."/>
      <w:lvlJc w:val="left"/>
      <w:pPr>
        <w:tabs>
          <w:tab w:val="left" w:pos="312"/>
        </w:tabs>
      </w:pPr>
    </w:lvl>
  </w:abstractNum>
  <w:num w:numId="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pPr>
      <w:ind w:left="1618"/>
      <w:outlineLvl w:val="0"/>
    </w:pPr>
    <w:rPr>
      <w:rFonts w:hint="default" w:ascii="宋体"/>
      <w:sz w:val="56"/>
    </w:rPr>
  </w:style>
  <w:style w:type="paragraph" w:styleId="3">
    <w:name w:val="heading 2"/>
    <w:basedOn w:val="1"/>
    <w:next w:val="1"/>
    <w:pPr>
      <w:keepNext/>
      <w:keepLines/>
      <w:spacing w:before="100" w:beforeAutospacing="0" w:after="100" w:afterAutospacing="0" w:line="240" w:lineRule="auto"/>
      <w:ind w:firstLine="0" w:firstLineChars="0"/>
      <w:outlineLvl w:val="1"/>
    </w:pPr>
    <w:rPr>
      <w:b/>
      <w:sz w:val="32"/>
    </w:rPr>
  </w:style>
  <w:style w:type="character" w:default="1" w:styleId="7">
    <w:name w:val="Default Paragraph Font"/>
  </w:style>
  <w:style w:type="paragraph" w:styleId="4">
    <w:name w:val="Body Text"/>
    <w:basedOn w:val="1"/>
    <w:next w:val="5"/>
    <w:pPr>
      <w:ind w:left="102"/>
    </w:pPr>
    <w:rPr>
      <w:rFonts w:eastAsia="Times New Roman"/>
    </w:rPr>
  </w:style>
  <w:style w:type="paragraph" w:styleId="5">
    <w:name w:val="header"/>
    <w:basedOn w:val="1"/>
    <w:next w:val="6"/>
    <w:pPr>
      <w:pBdr>
        <w:bottom w:val="single" w:color="auto" w:sz="6" w:space="1"/>
      </w:pBdr>
      <w:tabs>
        <w:tab w:val="center" w:pos="4153"/>
        <w:tab w:val="right" w:pos="8306"/>
      </w:tabs>
      <w:snapToGrid w:val="0"/>
      <w:jc w:val="center"/>
    </w:pPr>
    <w:rPr>
      <w:rFonts w:eastAsia="Times New Roman"/>
      <w:sz w:val="18"/>
    </w:rPr>
  </w:style>
  <w:style w:type="paragraph" w:customStyle="1" w:styleId="6">
    <w:name w:val="_Style 4"/>
    <w:basedOn w:val="1"/>
    <w:next w:val="1"/>
    <w:pPr>
      <w:ind w:left="864" w:right="864"/>
      <w:jc w:val="center"/>
    </w:pPr>
    <w:rPr>
      <w:rFonts w:ascii="Times New Roman" w:hAnsi="Times New Roman" w:cs="Times New Roman"/>
      <w:i/>
      <w:iCs/>
      <w:color w:val="404040"/>
      <w:szCs w:val="21"/>
    </w:rPr>
  </w:style>
  <w:style w:type="paragraph" w:customStyle="1" w:styleId="8">
    <w:name w:val="Body Text Indent"/>
    <w:basedOn w:val="1"/>
    <w:next w:val="9"/>
    <w:pPr>
      <w:spacing w:after="120"/>
      <w:ind w:left="200" w:leftChars="200"/>
      <w:jc w:val="both"/>
    </w:pPr>
    <w:rPr>
      <w:rFonts w:ascii="Times New Roman" w:hAnsi="Times New Roman" w:cs="Times New Roman"/>
      <w:kern w:val="2"/>
      <w:sz w:val="21"/>
      <w:szCs w:val="24"/>
      <w:lang w:bidi="ar-SA"/>
    </w:rPr>
  </w:style>
  <w:style w:type="paragraph" w:customStyle="1" w:styleId="9">
    <w:name w:val="Default"/>
    <w:next w:val="1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0">
    <w:name w:val="大标题"/>
    <w:basedOn w:val="1"/>
    <w:next w:val="11"/>
    <w:pPr>
      <w:jc w:val="center"/>
    </w:pPr>
    <w:rPr>
      <w:rFonts w:ascii="Arial" w:hAnsi="Arial" w:eastAsia="宋体"/>
      <w:b/>
      <w:sz w:val="28"/>
      <w:szCs w:val="24"/>
    </w:rPr>
  </w:style>
  <w:style w:type="paragraph" w:customStyle="1" w:styleId="11">
    <w:name w:val="Body Text First Indent 2"/>
    <w:basedOn w:val="8"/>
    <w:next w:val="1"/>
    <w:pPr>
      <w:ind w:firstLine="200" w:firstLineChars="200"/>
    </w:pPr>
  </w:style>
  <w:style w:type="paragraph" w:customStyle="1" w:styleId="12">
    <w:name w:val="Body Text First Indent"/>
    <w:basedOn w:val="4"/>
    <w:next w:val="11"/>
    <w:pPr>
      <w:adjustRightInd/>
      <w:spacing w:after="120"/>
      <w:ind w:left="0" w:firstLine="420" w:firstLineChars="100"/>
      <w:jc w:val="both"/>
    </w:pPr>
    <w:rPr>
      <w:rFonts w:hint="default" w:ascii="Calibri" w:hAnsi="Calibri" w:eastAsia="宋体"/>
      <w:kern w:val="2"/>
      <w:sz w:val="21"/>
      <w:szCs w:val="22"/>
    </w:rPr>
  </w:style>
  <w:style w:type="paragraph" w:customStyle="1" w:styleId="13">
    <w:name w:val="标题 2_5"/>
    <w:basedOn w:val="1"/>
    <w:next w:val="1"/>
    <w:pPr>
      <w:keepNext/>
      <w:keepLines/>
      <w:adjustRightInd/>
      <w:spacing w:before="260" w:after="260" w:line="416" w:lineRule="auto"/>
      <w:jc w:val="both"/>
      <w:outlineLvl w:val="1"/>
    </w:pPr>
    <w:rPr>
      <w:rFonts w:hint="default" w:ascii="Cambria" w:hAnsi="Cambria"/>
      <w:b/>
      <w:bCs/>
      <w:sz w:val="32"/>
      <w:szCs w:val="32"/>
    </w:rPr>
  </w:style>
  <w:style w:type="paragraph" w:customStyle="1" w:styleId="14">
    <w:name w:val="Plain Text"/>
    <w:basedOn w:val="1"/>
    <w:rPr>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2024-03-08T15:16:00Z</dcterms:created>
  <dc:creator>Administrator</dc:creator>
  <dcterms:modified xsi:type="dcterms:W3CDTF">2024-03-08T18:25:47Z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583E8CE432544FC1BEBA05B6FC2082CA_12</vt:lpwstr>
  </property>
</Properties>
</file>