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wordWrap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关于许昌东站站前广场及地下停车场商铺</w:t>
            </w:r>
          </w:p>
          <w:p>
            <w:pPr>
              <w:widowControl/>
              <w:shd w:val="clear" w:color="auto" w:fill="auto"/>
              <w:wordWrap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租金评估项目</w:t>
            </w: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ind w:firstLine="514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评标标准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本项目采用综合评分法。总分为 100 分。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40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zh-CN" w:eastAsia="zh-CN"/>
              </w:rPr>
              <w:t xml:space="preserve"> 分</w:t>
            </w:r>
          </w:p>
        </w:tc>
      </w:tr>
      <w:tr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评分因素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>
        <w:trPr>
          <w:trHeight w:val="199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报价得分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效投标报价中，最低的投标报价为评标基准价。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分。</w:t>
            </w:r>
          </w:p>
        </w:tc>
      </w:tr>
      <w:tr>
        <w:trPr>
          <w:trHeight w:val="1730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每提供一份评估服务证明材料得10分，最高20分。</w:t>
            </w:r>
          </w:p>
        </w:tc>
      </w:tr>
      <w:tr>
        <w:trPr>
          <w:trHeight w:val="1730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服务方案（40分）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项目服务方案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（40分）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提供服务方案优秀的得40分；良好的得25分；一般的得10分；没有服务方案不得分。</w:t>
            </w:r>
          </w:p>
        </w:tc>
      </w:tr>
    </w:tbl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评审小组根据综合评分情况，按照评审得分由高到低顺序推荐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名中标候选人。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评审得分相同的，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以报价最低者为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中标候选人；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评审得分相同且报价相同的，以服务方案部分得分较高者为中标候选人。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pStyle w:val="3"/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">
    <w:nsid w:val="00000008"/>
    <w:multiLevelType w:val="multilevel"/>
    <w:tmpl w:val="00000008"/>
    <w:lvl w:ilvl="0" w:tentative="1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1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1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pPr>
      <w:keepNext/>
      <w:keepLines/>
      <w:numPr>
        <w:ilvl w:val="0"/>
        <w:numId w:val="1"/>
      </w:numPr>
      <w:spacing w:before="100" w:after="10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lain Text"/>
    <w:basedOn w:val="1"/>
    <w:rPr>
      <w:sz w:val="24"/>
    </w:rPr>
  </w:style>
  <w:style w:type="paragraph" w:customStyle="1" w:styleId="8">
    <w:name w:val="Normal (Web)"/>
    <w:basedOn w:val="1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979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2023-08-24T15:45:00Z</dcterms:created>
  <dc:creator>Administrator</dc:creator>
  <dcterms:modified xsi:type="dcterms:W3CDTF">2024-03-08T18:23:21Z</dcterms:modified>
  <dc:title>陽光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38156DD49840451BBAC7C38D2FAA588C_12</vt:lpwstr>
  </property>
</Properties>
</file>