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pPr>
        <w:pStyle w:val="7"/>
        <w:spacing w:line="240" w:lineRule="auto"/>
        <w:ind w:firstLine="0" w:firstLineChars="0"/>
        <w:contextualSpacing/>
        <w:jc w:val="center"/>
        <w:rPr>
          <w:rFonts w:hint="eastAsia" w:ascii="方正小标宋简体" w:hAnsi="方正小标宋简体" w:eastAsia="方正小标宋简体" w:cs="方正小标宋简体"/>
          <w:b/>
          <w:sz w:val="44"/>
          <w:szCs w:val="44"/>
          <w:lang w:val="zh-CN"/>
        </w:rPr>
      </w:pPr>
      <w:r>
        <w:rPr>
          <w:rFonts w:hint="eastAsia" w:ascii="方正小标宋简体" w:hAnsi="方正小标宋简体" w:eastAsia="方正小标宋简体" w:cs="方正小标宋简体"/>
          <w:b/>
          <w:sz w:val="44"/>
          <w:szCs w:val="44"/>
          <w:lang w:val="zh-CN"/>
        </w:rPr>
        <w:t>评标标准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bookmarkStart w:id="0" w:name="_GoBack"/>
      <w:bookmarkEnd w:id="0"/>
    </w:p>
    <w:tbl>
      <w:tblPr>
        <w:tblStyle w:val="11"/>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405"/>
        <w:gridCol w:w="6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2913" w:type="dxa"/>
            <w:gridSpan w:val="2"/>
            <w:noWrap w:val="0"/>
            <w:vAlign w:val="center"/>
          </w:tcPr>
          <w:p>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noWrap w:val="0"/>
            <w:vAlign w:val="center"/>
          </w:tcPr>
          <w:p>
            <w:pPr>
              <w:tabs>
                <w:tab w:val="left" w:pos="1260"/>
              </w:tabs>
              <w:autoSpaceDE w:val="0"/>
              <w:autoSpaceDN w:val="0"/>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lang w:val="zh-CN"/>
              </w:rPr>
              <w:t>分值：</w:t>
            </w:r>
            <w:r>
              <w:rPr>
                <w:rFonts w:hint="eastAsia" w:ascii="仿宋_GB2312" w:hAnsi="仿宋_GB2312" w:eastAsia="仿宋_GB2312" w:cs="仿宋_GB2312"/>
                <w:sz w:val="32"/>
                <w:szCs w:val="32"/>
                <w:u w:val="single"/>
                <w:lang w:val="en-US" w:eastAsia="zh-CN"/>
              </w:rPr>
              <w:t xml:space="preserve"> 50</w:t>
            </w:r>
            <w:r>
              <w:rPr>
                <w:rFonts w:hint="eastAsia" w:ascii="仿宋_GB2312" w:hAnsi="仿宋_GB2312" w:eastAsia="仿宋_GB2312" w:cs="仿宋_GB2312"/>
                <w:sz w:val="32"/>
                <w:szCs w:val="32"/>
                <w:u w:val="single"/>
                <w:lang w:val="zh-CN"/>
              </w:rPr>
              <w:t>分</w:t>
            </w:r>
          </w:p>
          <w:p>
            <w:pPr>
              <w:tabs>
                <w:tab w:val="left" w:pos="1260"/>
              </w:tabs>
              <w:autoSpaceDE w:val="0"/>
              <w:autoSpaceDN w:val="0"/>
              <w:adjustRightInd w:val="0"/>
              <w:snapToGrid w:val="0"/>
              <w:spacing w:line="276" w:lineRule="auto"/>
              <w:jc w:val="left"/>
              <w:rPr>
                <w:rFonts w:hint="eastAsia" w:ascii="仿宋_GB2312" w:hAnsi="仿宋_GB2312" w:eastAsia="仿宋_GB2312" w:cs="仿宋_GB2312"/>
                <w:sz w:val="32"/>
                <w:szCs w:val="32"/>
                <w:u w:val="single"/>
                <w:lang w:val="zh-CN"/>
              </w:rPr>
            </w:pPr>
            <w:r>
              <w:rPr>
                <w:rFonts w:hint="eastAsia" w:ascii="仿宋_GB2312" w:hAnsi="仿宋_GB2312" w:eastAsia="仿宋_GB2312" w:cs="仿宋_GB2312"/>
                <w:sz w:val="32"/>
                <w:szCs w:val="32"/>
                <w:lang w:val="en-US" w:eastAsia="zh-CN"/>
              </w:rPr>
              <w:t>企业资质</w:t>
            </w:r>
            <w:r>
              <w:rPr>
                <w:rFonts w:hint="eastAsia" w:ascii="仿宋_GB2312" w:hAnsi="仿宋_GB2312" w:eastAsia="仿宋_GB2312" w:cs="仿宋_GB2312"/>
                <w:sz w:val="32"/>
                <w:szCs w:val="32"/>
                <w:lang w:val="zh-CN"/>
              </w:rPr>
              <w:t>部分：</w:t>
            </w:r>
            <w:r>
              <w:rPr>
                <w:rFonts w:hint="eastAsia" w:ascii="仿宋_GB2312" w:hAnsi="仿宋_GB2312" w:eastAsia="仿宋_GB2312" w:cs="仿宋_GB2312"/>
                <w:sz w:val="32"/>
                <w:szCs w:val="32"/>
                <w:u w:val="single"/>
                <w:lang w:val="en-US" w:eastAsia="zh-CN"/>
              </w:rPr>
              <w:t xml:space="preserve"> 20 </w:t>
            </w:r>
            <w:r>
              <w:rPr>
                <w:rFonts w:hint="eastAsia" w:ascii="仿宋_GB2312" w:hAnsi="仿宋_GB2312" w:eastAsia="仿宋_GB2312" w:cs="仿宋_GB2312"/>
                <w:sz w:val="32"/>
                <w:szCs w:val="32"/>
                <w:u w:val="single"/>
                <w:lang w:val="zh-CN"/>
              </w:rPr>
              <w:t>分</w:t>
            </w:r>
          </w:p>
          <w:p>
            <w:pPr>
              <w:tabs>
                <w:tab w:val="left" w:pos="1260"/>
              </w:tabs>
              <w:autoSpaceDE w:val="0"/>
              <w:autoSpaceDN w:val="0"/>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业绩</w:t>
            </w:r>
            <w:r>
              <w:rPr>
                <w:rFonts w:hint="eastAsia" w:ascii="仿宋_GB2312" w:hAnsi="仿宋_GB2312" w:eastAsia="仿宋_GB2312" w:cs="仿宋_GB2312"/>
                <w:sz w:val="32"/>
                <w:szCs w:val="32"/>
                <w:lang w:val="zh-CN" w:eastAsia="zh-CN"/>
              </w:rPr>
              <w:t>部分：</w:t>
            </w:r>
            <w:r>
              <w:rPr>
                <w:rFonts w:hint="eastAsia" w:ascii="仿宋_GB2312" w:hAnsi="仿宋_GB2312" w:eastAsia="仿宋_GB2312" w:cs="仿宋_GB2312"/>
                <w:sz w:val="32"/>
                <w:szCs w:val="32"/>
                <w:u w:val="single"/>
                <w:lang w:val="en-US" w:eastAsia="zh-CN"/>
              </w:rPr>
              <w:t xml:space="preserve"> 30</w:t>
            </w:r>
            <w:r>
              <w:rPr>
                <w:rFonts w:hint="eastAsia" w:ascii="仿宋_GB2312" w:hAnsi="仿宋_GB2312" w:eastAsia="仿宋_GB2312" w:cs="仿宋_GB2312"/>
                <w:sz w:val="32"/>
                <w:szCs w:val="32"/>
                <w:u w:val="single"/>
                <w:lang w:val="zh-CN" w:eastAsia="zh-CN"/>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508" w:type="dxa"/>
            <w:noWrap w:val="0"/>
            <w:tcMar>
              <w:top w:w="0" w:type="dxa"/>
              <w:left w:w="0" w:type="dxa"/>
              <w:bottom w:w="0" w:type="dxa"/>
              <w:right w:w="0" w:type="dxa"/>
            </w:tcMar>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1405" w:type="dxa"/>
            <w:noWrap w:val="0"/>
            <w:tcMar>
              <w:top w:w="0" w:type="dxa"/>
              <w:left w:w="0" w:type="dxa"/>
              <w:bottom w:w="0" w:type="dxa"/>
              <w:right w:w="0" w:type="dxa"/>
            </w:tcMar>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评分因素</w:t>
            </w:r>
          </w:p>
        </w:tc>
        <w:tc>
          <w:tcPr>
            <w:tcW w:w="6786" w:type="dxa"/>
            <w:noWrap w:val="0"/>
            <w:tcMar>
              <w:top w:w="0" w:type="dxa"/>
              <w:left w:w="0" w:type="dxa"/>
              <w:bottom w:w="0" w:type="dxa"/>
              <w:right w:w="0" w:type="dxa"/>
            </w:tcMar>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1508"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分）</w:t>
            </w:r>
          </w:p>
        </w:tc>
        <w:tc>
          <w:tcPr>
            <w:tcW w:w="1405"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得分</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分）</w:t>
            </w:r>
          </w:p>
        </w:tc>
        <w:tc>
          <w:tcPr>
            <w:tcW w:w="6786" w:type="dxa"/>
            <w:noWrap w:val="0"/>
            <w:tcMar>
              <w:top w:w="0" w:type="dxa"/>
              <w:left w:w="0" w:type="dxa"/>
              <w:bottom w:w="0" w:type="dxa"/>
              <w:right w:w="0" w:type="dxa"/>
            </w:tcMar>
            <w:vAlign w:val="center"/>
          </w:tcPr>
          <w:p>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1.所有参与的询比采购申请人最高投标下浮率有效报价为基准报价；</w:t>
            </w:r>
          </w:p>
          <w:p>
            <w:pPr>
              <w:widowControl/>
              <w:adjustRightInd w:val="0"/>
              <w:snapToGrid w:val="0"/>
              <w:spacing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2.报价得分=（报价/基准报价）×50分。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508"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企业资质</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分）</w:t>
            </w:r>
          </w:p>
        </w:tc>
        <w:tc>
          <w:tcPr>
            <w:tcW w:w="1405"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企业资质</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分）</w:t>
            </w:r>
          </w:p>
        </w:tc>
        <w:tc>
          <w:tcPr>
            <w:tcW w:w="6786" w:type="dxa"/>
            <w:noWrap w:val="0"/>
            <w:tcMar>
              <w:top w:w="0" w:type="dxa"/>
              <w:left w:w="0" w:type="dxa"/>
              <w:bottom w:w="0" w:type="dxa"/>
              <w:right w:w="0" w:type="dxa"/>
            </w:tcMar>
            <w:vAlign w:val="center"/>
          </w:tcPr>
          <w:p>
            <w:pPr>
              <w:widowControl/>
              <w:adjustRightInd w:val="0"/>
              <w:snapToGrid w:val="0"/>
              <w:spacing w:line="276" w:lineRule="auto"/>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企业资质证书资料齐全得20分，没有得0分。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508"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业绩</w:t>
            </w:r>
          </w:p>
          <w:p>
            <w:pPr>
              <w:adjustRightInd w:val="0"/>
              <w:snapToGrid w:val="0"/>
              <w:spacing w:line="276" w:lineRule="auto"/>
              <w:jc w:val="center"/>
              <w:rPr>
                <w:rFonts w:hint="eastAsia"/>
                <w:lang w:val="en-US" w:eastAsia="zh-CN"/>
              </w:rPr>
            </w:pPr>
            <w:r>
              <w:rPr>
                <w:rFonts w:hint="eastAsia" w:ascii="仿宋_GB2312" w:hAnsi="仿宋_GB2312" w:eastAsia="仿宋_GB2312" w:cs="仿宋_GB2312"/>
                <w:sz w:val="32"/>
                <w:szCs w:val="32"/>
                <w:lang w:val="en-US" w:eastAsia="zh-CN"/>
              </w:rPr>
              <w:t>（30分）</w:t>
            </w:r>
          </w:p>
        </w:tc>
        <w:tc>
          <w:tcPr>
            <w:tcW w:w="1405"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业绩</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6786" w:type="dxa"/>
            <w:noWrap w:val="0"/>
            <w:tcMar>
              <w:top w:w="0" w:type="dxa"/>
              <w:left w:w="0" w:type="dxa"/>
              <w:bottom w:w="0" w:type="dxa"/>
              <w:right w:w="0" w:type="dxa"/>
            </w:tcMar>
            <w:vAlign w:val="center"/>
          </w:tcPr>
          <w:p>
            <w:pPr>
              <w:widowControl/>
              <w:numPr>
                <w:ilvl w:val="0"/>
                <w:numId w:val="0"/>
              </w:numPr>
              <w:adjustRightInd w:val="0"/>
              <w:snapToGrid w:val="0"/>
              <w:spacing w:line="276" w:lineRule="auto"/>
              <w:ind w:leftChars="0"/>
              <w:jc w:val="both"/>
              <w:rPr>
                <w:rFonts w:hint="default"/>
                <w:lang w:val="en-US" w:eastAsia="zh-CN"/>
              </w:rPr>
            </w:pPr>
            <w:r>
              <w:rPr>
                <w:rFonts w:hint="eastAsia" w:ascii="仿宋_GB2312" w:hAnsi="仿宋_GB2312" w:eastAsia="仿宋_GB2312" w:cs="仿宋_GB2312"/>
                <w:sz w:val="32"/>
                <w:szCs w:val="32"/>
                <w:lang w:val="en-US" w:eastAsia="zh-CN"/>
              </w:rPr>
              <w:t>承揽业务每提供一项得5分，本项最高得30分。</w:t>
            </w: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lang w:val="zh-CN" w:eastAsia="zh-CN"/>
        </w:rPr>
        <w:t>评审小组根据综合评分情况，按照评审得分由高到低顺序推荐</w:t>
      </w:r>
      <w:r>
        <w:rPr>
          <w:rFonts w:hint="eastAsia" w:ascii="仿宋" w:hAnsi="仿宋" w:eastAsia="仿宋" w:cs="仿宋"/>
          <w:sz w:val="32"/>
          <w:szCs w:val="32"/>
          <w:lang w:val="en-US" w:eastAsia="zh-CN"/>
        </w:rPr>
        <w:t>1</w:t>
      </w:r>
      <w:r>
        <w:rPr>
          <w:rFonts w:hint="eastAsia" w:ascii="仿宋" w:hAnsi="仿宋" w:eastAsia="仿宋" w:cs="仿宋"/>
          <w:sz w:val="32"/>
          <w:szCs w:val="32"/>
          <w:lang w:val="zh-CN" w:eastAsia="zh-CN"/>
        </w:rPr>
        <w:t>名中标候选人。</w:t>
      </w:r>
      <w:r>
        <w:rPr>
          <w:rFonts w:hint="eastAsia" w:ascii="仿宋" w:hAnsi="仿宋" w:eastAsia="仿宋" w:cs="仿宋"/>
          <w:sz w:val="32"/>
          <w:szCs w:val="32"/>
          <w:highlight w:val="none"/>
          <w:lang w:val="zh-CN" w:eastAsia="zh-CN"/>
        </w:rPr>
        <w:t>评审得分相同的，</w:t>
      </w:r>
      <w:r>
        <w:rPr>
          <w:rFonts w:hint="eastAsia" w:ascii="仿宋" w:hAnsi="仿宋" w:eastAsia="仿宋" w:cs="仿宋"/>
          <w:sz w:val="32"/>
          <w:szCs w:val="32"/>
          <w:highlight w:val="none"/>
          <w:lang w:val="en-US" w:eastAsia="zh-CN"/>
        </w:rPr>
        <w:t>以报价最低者为</w:t>
      </w:r>
      <w:r>
        <w:rPr>
          <w:rFonts w:hint="eastAsia" w:ascii="仿宋" w:hAnsi="仿宋" w:eastAsia="仿宋" w:cs="仿宋"/>
          <w:sz w:val="32"/>
          <w:szCs w:val="32"/>
          <w:highlight w:val="none"/>
          <w:lang w:val="zh-CN" w:eastAsia="zh-CN"/>
        </w:rPr>
        <w:t>中标候选人；</w:t>
      </w:r>
      <w:r>
        <w:rPr>
          <w:rFonts w:hint="eastAsia" w:ascii="仿宋" w:hAnsi="仿宋" w:eastAsia="仿宋" w:cs="仿宋"/>
          <w:sz w:val="32"/>
          <w:szCs w:val="32"/>
          <w:highlight w:val="none"/>
          <w:lang w:val="en-US" w:eastAsia="zh-CN"/>
        </w:rPr>
        <w:t>评审得分相同且报价相同的，以服务方案部分得分较高者为中标候选人。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2"/>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kZWY4MjhkZjlkZjRmODUxMDAwMDQxZDE4ZWRlNTgifQ=="/>
  </w:docVars>
  <w:rsids>
    <w:rsidRoot w:val="00172A27"/>
    <w:rsid w:val="05AD0A46"/>
    <w:rsid w:val="07FF36BC"/>
    <w:rsid w:val="10686E26"/>
    <w:rsid w:val="1DC22489"/>
    <w:rsid w:val="249A76AE"/>
    <w:rsid w:val="27BF38CF"/>
    <w:rsid w:val="2D1D44BF"/>
    <w:rsid w:val="331104CE"/>
    <w:rsid w:val="37D754CC"/>
    <w:rsid w:val="3BFE6232"/>
    <w:rsid w:val="438D7307"/>
    <w:rsid w:val="454A3AE3"/>
    <w:rsid w:val="461026EE"/>
    <w:rsid w:val="464042EF"/>
    <w:rsid w:val="4A3D2009"/>
    <w:rsid w:val="596040BD"/>
    <w:rsid w:val="60714D40"/>
    <w:rsid w:val="61215F42"/>
    <w:rsid w:val="629E645C"/>
    <w:rsid w:val="63B41DA5"/>
    <w:rsid w:val="655F1E1A"/>
    <w:rsid w:val="6BA97B57"/>
    <w:rsid w:val="6CAC04F4"/>
    <w:rsid w:val="70D440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3">
    <w:name w:val="heading 2"/>
    <w:basedOn w:val="1"/>
    <w:next w:val="1"/>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jc w:val="center"/>
    </w:pPr>
    <w:rPr>
      <w:rFonts w:ascii="Times New Roman" w:hAnsi="Times New Roman" w:eastAsia="黑体" w:cs="Times New Roman"/>
      <w:sz w:val="36"/>
      <w:szCs w:val="20"/>
    </w:rPr>
  </w:style>
  <w:style w:type="paragraph" w:styleId="5">
    <w:name w:val="Body Text First Indent"/>
    <w:basedOn w:val="4"/>
    <w:next w:val="6"/>
    <w:qFormat/>
    <w:uiPriority w:val="0"/>
    <w:pPr>
      <w:ind w:firstLine="420" w:firstLineChars="100"/>
    </w:pPr>
    <w:rPr>
      <w:rFonts w:ascii="宋体" w:hAnsi="Times New Roman" w:eastAsia="宋体" w:cs="Times New Roman"/>
      <w:kern w:val="0"/>
      <w:sz w:val="34"/>
      <w:szCs w:val="20"/>
    </w:rPr>
  </w:style>
  <w:style w:type="paragraph" w:customStyle="1" w:styleId="6">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styleId="7">
    <w:name w:val="Plain Text"/>
    <w:basedOn w:val="1"/>
    <w:qFormat/>
    <w:uiPriority w:val="0"/>
    <w:rPr>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3">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1071</Words>
  <Characters>1151</Characters>
  <Lines>0</Lines>
  <Paragraphs>0</Paragraphs>
  <TotalTime>1</TotalTime>
  <ScaleCrop>false</ScaleCrop>
  <LinksUpToDate>false</LinksUpToDate>
  <CharactersWithSpaces>1179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小雨</cp:lastModifiedBy>
  <cp:lastPrinted>2023-12-29T00:59:00Z</cp:lastPrinted>
  <dcterms:modified xsi:type="dcterms:W3CDTF">2024-01-12T07:28:54Z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07792FACFF374323A2D29E4F58B1A200_13</vt:lpwstr>
  </property>
  <property fmtid="{D5CDD505-2E9C-101B-9397-08002B2CF9AE}" pid="4" name="commondata">
    <vt:lpwstr>eyJoZGlkIjoiN2I0NDMxMDhhNzIxZjIxM2FiMjFkZWExNzY4MTY3OTUifQ==</vt:lpwstr>
  </property>
</Properties>
</file>