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报价单</w:t>
      </w:r>
    </w:p>
    <w:p>
      <w:pPr>
        <w:shd w:val="clear" w:color="auto" w:fill="auto"/>
        <w:spacing w:line="560" w:lineRule="exact"/>
        <w:jc w:val="center"/>
        <w:rPr>
          <w:rFonts w:ascii="仿宋_GB2312" w:hAnsi="仿宋" w:eastAsia="仿宋_GB2312" w:cs="仿宋"/>
          <w:b/>
          <w:sz w:val="32"/>
          <w:szCs w:val="32"/>
        </w:rPr>
      </w:pPr>
    </w:p>
    <w:tbl>
      <w:tblPr>
        <w:tblStyle w:val="11"/>
        <w:tblW w:w="8683" w:type="dxa"/>
        <w:tblInd w:w="0" w:type="dxa"/>
        <w:tblLayout w:type="fixed"/>
        <w:tblCellMar>
          <w:top w:w="15" w:type="dxa"/>
          <w:left w:w="15" w:type="dxa"/>
          <w:bottom w:w="15" w:type="dxa"/>
          <w:right w:w="15" w:type="dxa"/>
        </w:tblCellMar>
      </w:tblPr>
      <w:tblGrid>
        <w:gridCol w:w="3134"/>
        <w:gridCol w:w="5549"/>
      </w:tblGrid>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宋体" w:eastAsia="仿宋_GB2312" w:cs="仿宋_GB2312"/>
                <w:b/>
                <w:color w:val="000000"/>
                <w:kern w:val="0"/>
                <w:sz w:val="32"/>
                <w:szCs w:val="32"/>
                <w:lang w:val="en-US" w:eastAsia="zh-CN" w:bidi="ar"/>
              </w:rPr>
              <w:t>经开区工业园区项目财务尽调报告编制服务</w:t>
            </w: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 xml:space="preserve">     </w:t>
            </w:r>
            <w:r>
              <w:rPr>
                <w:rFonts w:hint="eastAsia" w:ascii="仿宋_GB2312" w:hAnsi="仿宋_GB2312" w:eastAsia="仿宋_GB2312" w:cs="仿宋_GB2312"/>
                <w:sz w:val="32"/>
                <w:szCs w:val="32"/>
                <w:highlight w:val="none"/>
                <w:lang w:val="en-US" w:eastAsia="zh-CN"/>
              </w:rPr>
              <w:t>****元（含税）</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pStyle w:val="7"/>
        <w:spacing w:line="240" w:lineRule="auto"/>
        <w:ind w:firstLine="0" w:firstLineChars="0"/>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noWrap w:val="0"/>
            <w:vAlign w:val="center"/>
          </w:tcPr>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价格分值：</w:t>
            </w:r>
            <w:r>
              <w:rPr>
                <w:rFonts w:hint="eastAsia" w:ascii="仿宋_GB2312" w:hAnsi="仿宋_GB2312" w:eastAsia="仿宋_GB2312" w:cs="仿宋_GB2312"/>
                <w:sz w:val="32"/>
                <w:szCs w:val="32"/>
                <w:u w:val="single"/>
                <w:lang w:val="en-US" w:eastAsia="zh-CN"/>
              </w:rPr>
              <w:t xml:space="preserve"> 40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部分：</w:t>
            </w:r>
            <w:r>
              <w:rPr>
                <w:rFonts w:hint="eastAsia" w:ascii="仿宋_GB2312" w:hAnsi="仿宋_GB2312" w:eastAsia="仿宋_GB2312" w:cs="仿宋_GB2312"/>
                <w:sz w:val="32"/>
                <w:szCs w:val="32"/>
                <w:u w:val="single"/>
                <w:lang w:val="en-US" w:eastAsia="zh-CN"/>
              </w:rPr>
              <w:t xml:space="preserve"> 40</w:t>
            </w:r>
            <w:r>
              <w:rPr>
                <w:rFonts w:hint="eastAsia" w:ascii="仿宋_GB2312" w:hAnsi="仿宋_GB2312" w:eastAsia="仿宋_GB2312" w:cs="仿宋_GB2312"/>
                <w:sz w:val="32"/>
                <w:szCs w:val="32"/>
                <w:u w:val="single"/>
                <w:lang w:val="zh-CN"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1405"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评分因素</w:t>
            </w:r>
          </w:p>
        </w:tc>
        <w:tc>
          <w:tcPr>
            <w:tcW w:w="6786"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报价得分</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评标基准价：满足招标文件要求的</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val="zh-CN"/>
              </w:rPr>
              <w:t>有</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zh-CN"/>
              </w:rPr>
              <w:t>效投标报价中，最低的投标报价为评标基准价。</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zh-CN"/>
                <w14:textFill>
                  <w14:solidFill>
                    <w14:schemeClr w14:val="tx1"/>
                  </w14:solidFill>
                </w14:textFill>
              </w:rPr>
              <w:t>投标报价得分=（基准价/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lang w:val="zh-CN"/>
                <w14:textFill>
                  <w14:solidFill>
                    <w14:schemeClr w14:val="tx1"/>
                  </w14:solidFill>
                </w14:textFill>
              </w:rPr>
              <w:t>报价）×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每提供一份评估服务证明材料得10分，最高20分。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lang w:val="en-US" w:eastAsia="zh-CN"/>
              </w:rPr>
            </w:pPr>
            <w:r>
              <w:rPr>
                <w:rFonts w:hint="eastAsia" w:ascii="仿宋_GB2312" w:hAnsi="仿宋_GB2312" w:eastAsia="仿宋_GB2312" w:cs="仿宋_GB2312"/>
                <w:sz w:val="32"/>
                <w:szCs w:val="32"/>
                <w:lang w:val="en-US" w:eastAsia="zh-CN"/>
              </w:rPr>
              <w:t>服务方案（40分）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（40分）</w:t>
            </w:r>
          </w:p>
        </w:tc>
        <w:tc>
          <w:tcPr>
            <w:tcW w:w="6786" w:type="dxa"/>
            <w:noWrap w:val="0"/>
            <w:tcMar>
              <w:top w:w="0" w:type="dxa"/>
              <w:left w:w="0" w:type="dxa"/>
              <w:bottom w:w="0" w:type="dxa"/>
              <w:right w:w="0" w:type="dxa"/>
            </w:tcMar>
            <w:vAlign w:val="center"/>
          </w:tcPr>
          <w:p>
            <w:pPr>
              <w:widowControl/>
              <w:numPr>
                <w:ilvl w:val="0"/>
                <w:numId w:val="0"/>
              </w:numPr>
              <w:adjustRightInd w:val="0"/>
              <w:snapToGrid w:val="0"/>
              <w:spacing w:line="276" w:lineRule="auto"/>
              <w:ind w:leftChars="0"/>
              <w:jc w:val="both"/>
              <w:rPr>
                <w:rFonts w:hint="default"/>
                <w:lang w:val="en-US" w:eastAsia="zh-CN"/>
              </w:rPr>
            </w:pPr>
            <w:r>
              <w:rPr>
                <w:rFonts w:hint="eastAsia" w:ascii="仿宋_GB2312" w:hAnsi="仿宋_GB2312" w:eastAsia="仿宋_GB2312" w:cs="仿宋_GB2312"/>
                <w:sz w:val="32"/>
                <w:szCs w:val="32"/>
                <w:lang w:val="en-US" w:eastAsia="zh-CN"/>
              </w:rPr>
              <w:t>提供服务方案优秀的得40分；良好的得20分；没有服务方案不得分。</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zh-CN" w:eastAsia="zh-CN"/>
        </w:rPr>
        <w:t>评审小组根据综合评分情况，按照评审得分由高到低顺序推荐</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名中标候选人。</w:t>
      </w:r>
      <w:r>
        <w:rPr>
          <w:rFonts w:hint="eastAsia" w:ascii="仿宋" w:hAnsi="仿宋" w:eastAsia="仿宋" w:cs="仿宋"/>
          <w:sz w:val="32"/>
          <w:szCs w:val="32"/>
          <w:highlight w:val="none"/>
          <w:lang w:val="zh-CN" w:eastAsia="zh-CN"/>
        </w:rPr>
        <w:t>评审得分相同的，</w:t>
      </w:r>
      <w:r>
        <w:rPr>
          <w:rFonts w:hint="eastAsia" w:ascii="仿宋" w:hAnsi="仿宋" w:eastAsia="仿宋" w:cs="仿宋"/>
          <w:sz w:val="32"/>
          <w:szCs w:val="32"/>
          <w:highlight w:val="none"/>
          <w:lang w:val="en-US" w:eastAsia="zh-CN"/>
        </w:rPr>
        <w:t>以报价最低者为</w:t>
      </w:r>
      <w:r>
        <w:rPr>
          <w:rFonts w:hint="eastAsia" w:ascii="仿宋" w:hAnsi="仿宋" w:eastAsia="仿宋" w:cs="仿宋"/>
          <w:sz w:val="32"/>
          <w:szCs w:val="32"/>
          <w:highlight w:val="none"/>
          <w:lang w:val="zh-CN" w:eastAsia="zh-CN"/>
        </w:rPr>
        <w:t>中标候选人；</w:t>
      </w:r>
      <w:r>
        <w:rPr>
          <w:rFonts w:hint="eastAsia" w:ascii="仿宋" w:hAnsi="仿宋" w:eastAsia="仿宋" w:cs="仿宋"/>
          <w:sz w:val="32"/>
          <w:szCs w:val="32"/>
          <w:highlight w:val="none"/>
          <w:lang w:val="en-US" w:eastAsia="zh-CN"/>
        </w:rPr>
        <w:t>评审得分相同且报价相同的，以服务方案部分得分较高者为中标候选人。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pPr>
        <w:pStyle w:val="2"/>
        <w:numPr>
          <w:numId w:val="0"/>
        </w:numPr>
        <w:ind w:leftChars="0"/>
        <w:jc w:val="both"/>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7FF36BC"/>
    <w:rsid w:val="0F1958F7"/>
    <w:rsid w:val="1DC22489"/>
    <w:rsid w:val="27BF38CF"/>
    <w:rsid w:val="331104CE"/>
    <w:rsid w:val="3BFE6232"/>
    <w:rsid w:val="43211DE5"/>
    <w:rsid w:val="438D7307"/>
    <w:rsid w:val="454A3AE3"/>
    <w:rsid w:val="461026EE"/>
    <w:rsid w:val="464042EF"/>
    <w:rsid w:val="4A3D2009"/>
    <w:rsid w:val="596040BD"/>
    <w:rsid w:val="61215F42"/>
    <w:rsid w:val="629E645C"/>
    <w:rsid w:val="63B41DA5"/>
    <w:rsid w:val="655F1E1A"/>
    <w:rsid w:val="6BA97B57"/>
    <w:rsid w:val="6CAC04F4"/>
    <w:rsid w:val="70D44079"/>
    <w:rsid w:val="77E574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autoRedefine/>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2">
    <w:name w:val="Default Paragraph Font"/>
    <w:autoRedefine/>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jc w:val="center"/>
    </w:pPr>
    <w:rPr>
      <w:rFonts w:ascii="Times New Roman" w:hAnsi="Times New Roman" w:eastAsia="黑体" w:cs="Times New Roman"/>
      <w:sz w:val="36"/>
      <w:szCs w:val="20"/>
    </w:rPr>
  </w:style>
  <w:style w:type="paragraph" w:styleId="5">
    <w:name w:val="Body Text First Indent"/>
    <w:basedOn w:val="4"/>
    <w:next w:val="6"/>
    <w:autoRedefine/>
    <w:qFormat/>
    <w:uiPriority w:val="0"/>
    <w:pPr>
      <w:ind w:firstLine="420" w:firstLineChars="100"/>
    </w:pPr>
    <w:rPr>
      <w:rFonts w:ascii="宋体" w:hAnsi="Times New Roman" w:eastAsia="宋体" w:cs="Times New Roman"/>
      <w:kern w:val="0"/>
      <w:sz w:val="34"/>
      <w:szCs w:val="20"/>
    </w:rPr>
  </w:style>
  <w:style w:type="paragraph" w:customStyle="1" w:styleId="6">
    <w:name w:val="List Paragraph1"/>
    <w:basedOn w:val="1"/>
    <w:next w:val="1"/>
    <w:autoRedefine/>
    <w:qFormat/>
    <w:uiPriority w:val="0"/>
    <w:pPr>
      <w:widowControl w:val="0"/>
      <w:autoSpaceDE/>
      <w:autoSpaceDN/>
      <w:spacing w:before="0" w:beforeLines="0" w:after="0" w:afterLines="0" w:line="240" w:lineRule="auto"/>
      <w:ind w:left="420" w:firstLine="3748"/>
      <w:jc w:val="both"/>
    </w:pPr>
  </w:style>
  <w:style w:type="paragraph" w:styleId="7">
    <w:name w:val="Plain Text"/>
    <w:basedOn w:val="1"/>
    <w:autoRedefine/>
    <w:qFormat/>
    <w:uiPriority w:val="0"/>
    <w:rPr>
      <w:sz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3">
    <w:name w:val="Hyperlink"/>
    <w:basedOn w:val="12"/>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0</TotalTime>
  <ScaleCrop>false</ScaleCrop>
  <LinksUpToDate>false</LinksUpToDate>
  <CharactersWithSpaces>1179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zhb1</cp:lastModifiedBy>
  <cp:lastPrinted>2023-12-29T00:59:00Z</cp:lastPrinted>
  <dcterms:modified xsi:type="dcterms:W3CDTF">2024-01-11T11:36:08Z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8B8F7853CDD947F0BE241D3516D7D0E0_13</vt:lpwstr>
  </property>
  <property fmtid="{D5CDD505-2E9C-101B-9397-08002B2CF9AE}" pid="4" name="commondata">
    <vt:lpwstr>eyJoZGlkIjoiN2I0NDMxMDhhNzIxZjIxM2FiMjFkZWExNzY4MTY3OTUifQ==</vt:lpwstr>
  </property>
</Properties>
</file>