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附件1</w:t>
      </w:r>
    </w:p>
    <w:p>
      <w:pPr>
        <w:shd w:val="clear" w:color="auto" w:fill="auto"/>
        <w:spacing w:line="560" w:lineRule="exact"/>
        <w:jc w:val="center"/>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报价单</w:t>
      </w:r>
    </w:p>
    <w:p>
      <w:pPr>
        <w:shd w:val="clear" w:color="auto" w:fill="auto"/>
        <w:spacing w:line="560" w:lineRule="exact"/>
        <w:jc w:val="center"/>
        <w:rPr>
          <w:rFonts w:ascii="仿宋_GB2312" w:hAnsi="仿宋" w:eastAsia="仿宋_GB2312" w:cs="仿宋"/>
          <w:b/>
          <w:sz w:val="32"/>
          <w:szCs w:val="32"/>
        </w:rPr>
      </w:pPr>
    </w:p>
    <w:tbl>
      <w:tblPr>
        <w:tblStyle w:val="11"/>
        <w:tblW w:w="8683" w:type="dxa"/>
        <w:tblInd w:w="0" w:type="dxa"/>
        <w:tblLayout w:type="fixed"/>
        <w:tblCellMar>
          <w:top w:w="15" w:type="dxa"/>
          <w:left w:w="15" w:type="dxa"/>
          <w:bottom w:w="15" w:type="dxa"/>
          <w:right w:w="15" w:type="dxa"/>
        </w:tblCellMar>
      </w:tblPr>
      <w:tblGrid>
        <w:gridCol w:w="3134"/>
        <w:gridCol w:w="5549"/>
      </w:tblGrid>
      <w:tr>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lang w:bidi="ar"/>
              </w:rPr>
              <w:t>项目名称</w:t>
            </w:r>
          </w:p>
        </w:tc>
        <w:tc>
          <w:tcPr>
            <w:tcW w:w="55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480" w:lineRule="exact"/>
              <w:jc w:val="center"/>
              <w:textAlignment w:val="center"/>
              <w:rPr>
                <w:rFonts w:hint="default" w:ascii="仿宋_GB2312" w:hAnsi="仿宋_GB2312" w:eastAsia="仿宋_GB2312" w:cs="仿宋_GB2312"/>
                <w:b/>
                <w:color w:val="000000"/>
                <w:sz w:val="24"/>
                <w:szCs w:val="24"/>
                <w:lang w:val="en-US" w:eastAsia="zh-CN"/>
              </w:rPr>
            </w:pPr>
            <w:r>
              <w:rPr>
                <w:rFonts w:hint="eastAsia" w:ascii="仿宋_GB2312" w:hAnsi="宋体" w:eastAsia="仿宋_GB2312" w:cs="仿宋_GB2312"/>
                <w:b/>
                <w:color w:val="000000"/>
                <w:kern w:val="0"/>
                <w:sz w:val="32"/>
                <w:szCs w:val="32"/>
                <w:lang w:val="en-US" w:eastAsia="zh-CN" w:bidi="ar"/>
              </w:rPr>
              <w:t>经开区工业园区项目资产评估尽调报告编制服务</w:t>
            </w:r>
          </w:p>
        </w:tc>
      </w:tr>
      <w:tr>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right w:val="single" w:color="000000" w:sz="4" w:space="0"/>
            </w:tcBorders>
            <w:noWrap w:val="0"/>
            <w:vAlign w:val="center"/>
          </w:tcPr>
          <w:p>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lang w:bidi="ar"/>
              </w:rPr>
              <w:t>申请人</w:t>
            </w:r>
          </w:p>
        </w:tc>
        <w:tc>
          <w:tcPr>
            <w:tcW w:w="5549"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申请人资质</w:t>
            </w:r>
          </w:p>
        </w:tc>
        <w:tc>
          <w:tcPr>
            <w:tcW w:w="5549"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项目负责人（职务）</w:t>
            </w:r>
          </w:p>
        </w:tc>
        <w:tc>
          <w:tcPr>
            <w:tcW w:w="5549"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val="en-US" w:eastAsia="zh-CN" w:bidi="ar"/>
              </w:rPr>
            </w:pPr>
            <w:r>
              <w:rPr>
                <w:rFonts w:hint="eastAsia" w:ascii="仿宋_GB2312" w:hAnsi="宋体" w:eastAsia="仿宋_GB2312" w:cs="仿宋_GB2312"/>
                <w:b/>
                <w:color w:val="000000"/>
                <w:kern w:val="0"/>
                <w:sz w:val="32"/>
                <w:szCs w:val="32"/>
                <w:lang w:val="en-US" w:eastAsia="zh-CN" w:bidi="ar"/>
              </w:rPr>
              <w:t>项目工作内容</w:t>
            </w:r>
          </w:p>
        </w:tc>
        <w:tc>
          <w:tcPr>
            <w:tcW w:w="5549"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bidi="ar"/>
              </w:rPr>
            </w:pPr>
          </w:p>
        </w:tc>
      </w:tr>
      <w:tr>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报价</w:t>
            </w:r>
          </w:p>
        </w:tc>
        <w:tc>
          <w:tcPr>
            <w:tcW w:w="5549"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 xml:space="preserve">     </w:t>
            </w:r>
            <w:r>
              <w:rPr>
                <w:rFonts w:hint="eastAsia" w:ascii="仿宋_GB2312" w:hAnsi="仿宋_GB2312" w:eastAsia="仿宋_GB2312" w:cs="仿宋_GB2312"/>
                <w:sz w:val="32"/>
                <w:szCs w:val="32"/>
                <w:highlight w:val="none"/>
                <w:lang w:val="en-US" w:eastAsia="zh-CN"/>
              </w:rPr>
              <w:t>****元（含税）</w:t>
            </w:r>
          </w:p>
        </w:tc>
      </w:tr>
    </w:tbl>
    <w:p>
      <w:pPr>
        <w:shd w:val="clear" w:color="auto" w:fill="auto"/>
        <w:adjustRightInd w:val="0"/>
        <w:spacing w:line="560" w:lineRule="exact"/>
        <w:ind w:firstLine="640" w:firstLineChars="200"/>
        <w:jc w:val="right"/>
        <w:rPr>
          <w:rFonts w:hint="eastAsia" w:ascii="仿宋_GB2312" w:hAnsi="仿宋_GB2312" w:eastAsia="仿宋_GB2312" w:cs="仿宋_GB2312"/>
          <w:sz w:val="32"/>
          <w:szCs w:val="32"/>
          <w:highlight w:val="none"/>
          <w:lang w:val="en-US" w:eastAsia="zh-CN"/>
        </w:rPr>
      </w:pPr>
    </w:p>
    <w:p>
      <w:pPr>
        <w:shd w:val="clear" w:color="auto" w:fill="auto"/>
        <w:adjustRightInd w:val="0"/>
        <w:spacing w:line="560" w:lineRule="exact"/>
        <w:ind w:firstLine="640" w:firstLineChars="200"/>
        <w:jc w:val="right"/>
        <w:rPr>
          <w:rFonts w:hint="eastAsia" w:ascii="仿宋_GB2312" w:hAnsi="仿宋_GB2312" w:eastAsia="仿宋_GB2312" w:cs="仿宋_GB2312"/>
          <w:sz w:val="32"/>
          <w:szCs w:val="32"/>
          <w:highlight w:val="none"/>
          <w:lang w:val="en-US" w:eastAsia="zh-CN"/>
        </w:rPr>
      </w:pPr>
    </w:p>
    <w:p>
      <w:pPr>
        <w:pStyle w:val="3"/>
        <w:ind w:firstLine="5461" w:firstLineChars="17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年    月    日</w:t>
      </w:r>
    </w:p>
    <w:p>
      <w:pPr>
        <w:rPr>
          <w:rFonts w:hint="eastAsia" w:ascii="仿宋_GB2312" w:hAnsi="仿宋_GB2312" w:eastAsia="仿宋_GB2312" w:cs="仿宋_GB2312"/>
          <w:sz w:val="32"/>
          <w:szCs w:val="32"/>
          <w:highlight w:val="none"/>
          <w:lang w:val="en-US" w:eastAsia="zh-CN"/>
        </w:rPr>
      </w:pPr>
    </w:p>
    <w:p>
      <w:pPr>
        <w:rPr>
          <w:rFonts w:hint="eastAsia" w:ascii="仿宋_GB2312" w:hAnsi="仿宋_GB2312" w:eastAsia="仿宋_GB2312" w:cs="仿宋_GB2312"/>
          <w:sz w:val="32"/>
          <w:szCs w:val="32"/>
          <w:highlight w:val="none"/>
          <w:lang w:val="en-US" w:eastAsia="zh-CN"/>
        </w:rPr>
      </w:pPr>
    </w:p>
    <w:p>
      <w:pPr>
        <w:rPr>
          <w:rFonts w:hint="eastAsia" w:ascii="仿宋_GB2312" w:hAnsi="仿宋_GB2312" w:eastAsia="仿宋_GB2312" w:cs="仿宋_GB2312"/>
          <w:sz w:val="32"/>
          <w:szCs w:val="32"/>
          <w:highlight w:val="none"/>
          <w:lang w:val="en-US" w:eastAsia="zh-CN"/>
        </w:rPr>
      </w:pPr>
      <w:bookmarkStart w:id="0" w:name="_GoBack"/>
      <w:bookmarkEnd w:id="0"/>
      <w:r>
        <w:rPr>
          <w:rFonts w:hint="eastAsia" w:ascii="仿宋_GB2312" w:hAnsi="仿宋_GB2312" w:eastAsia="仿宋_GB2312" w:cs="仿宋_GB2312"/>
          <w:sz w:val="32"/>
          <w:szCs w:val="32"/>
          <w:highlight w:val="none"/>
          <w:lang w:val="en-US" w:eastAsia="zh-CN"/>
        </w:rPr>
        <w:t>附件2</w:t>
      </w:r>
    </w:p>
    <w:p>
      <w:pPr>
        <w:pStyle w:val="7"/>
        <w:spacing w:line="240" w:lineRule="auto"/>
        <w:ind w:firstLine="0" w:firstLineChars="0"/>
        <w:contextualSpacing/>
        <w:jc w:val="center"/>
        <w:rPr>
          <w:rFonts w:hint="eastAsia" w:ascii="方正小标宋简体" w:hAnsi="方正小标宋简体" w:eastAsia="方正小标宋简体" w:cs="方正小标宋简体"/>
          <w:b/>
          <w:sz w:val="44"/>
          <w:szCs w:val="44"/>
          <w:lang w:val="zh-CN"/>
        </w:rPr>
      </w:pPr>
      <w:r>
        <w:rPr>
          <w:rFonts w:hint="eastAsia" w:ascii="方正小标宋简体" w:hAnsi="方正小标宋简体" w:eastAsia="方正小标宋简体" w:cs="方正小标宋简体"/>
          <w:b/>
          <w:sz w:val="44"/>
          <w:szCs w:val="44"/>
          <w:lang w:val="zh-CN"/>
        </w:rPr>
        <w:t>评标标准</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一、资格审查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FF0000"/>
          <w:sz w:val="32"/>
          <w:szCs w:val="32"/>
          <w:lang w:val="zh-CN" w:eastAsia="zh-CN"/>
        </w:rPr>
      </w:pPr>
      <w:r>
        <w:rPr>
          <w:rFonts w:hint="eastAsia" w:ascii="仿宋_GB2312" w:hAnsi="仿宋_GB2312" w:eastAsia="仿宋_GB2312" w:cs="仿宋_GB2312"/>
          <w:sz w:val="32"/>
          <w:szCs w:val="32"/>
          <w:lang w:eastAsia="zh-CN"/>
        </w:rPr>
        <w:t>评审小组对</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eastAsia="zh-CN"/>
        </w:rPr>
        <w:t>人资格进行检查。</w:t>
      </w:r>
      <w:r>
        <w:rPr>
          <w:rFonts w:hint="eastAsia" w:ascii="仿宋_GB2312" w:hAnsi="仿宋_GB2312" w:eastAsia="仿宋_GB2312" w:cs="仿宋_GB2312"/>
          <w:sz w:val="32"/>
          <w:szCs w:val="32"/>
          <w:lang w:val="zh-CN" w:eastAsia="zh-CN"/>
        </w:rPr>
        <w:t>确定符合资格的</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val="zh-CN" w:eastAsia="zh-CN"/>
        </w:rPr>
        <w:t>人不少于3</w:t>
      </w:r>
      <w:r>
        <w:rPr>
          <w:rFonts w:hint="eastAsia" w:ascii="仿宋_GB2312" w:hAnsi="仿宋_GB2312" w:eastAsia="仿宋_GB2312" w:cs="仿宋_GB2312"/>
          <w:color w:val="auto"/>
          <w:sz w:val="32"/>
          <w:szCs w:val="32"/>
          <w:lang w:val="zh-CN" w:eastAsia="zh-CN"/>
        </w:rPr>
        <w:t>家后对投标文件进行符合性审查，</w:t>
      </w:r>
      <w:r>
        <w:rPr>
          <w:rFonts w:hint="eastAsia" w:ascii="仿宋_GB2312" w:hAnsi="仿宋_GB2312" w:eastAsia="仿宋_GB2312" w:cs="仿宋_GB2312"/>
          <w:color w:val="auto"/>
          <w:sz w:val="32"/>
          <w:szCs w:val="32"/>
          <w:lang w:val="en-US" w:eastAsia="zh-CN"/>
        </w:rPr>
        <w:t>少于三家则本次评标过程无效</w:t>
      </w:r>
      <w:r>
        <w:rPr>
          <w:rFonts w:hint="eastAsia" w:ascii="仿宋_GB2312" w:hAnsi="仿宋_GB2312" w:eastAsia="仿宋_GB2312" w:cs="仿宋_GB2312"/>
          <w:color w:val="auto"/>
          <w:sz w:val="32"/>
          <w:szCs w:val="32"/>
          <w:lang w:val="zh-CN"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二、评审</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（一）评审方法</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本项目采用综合评分法。总分为 100 分。</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（二）评分办法</w:t>
      </w:r>
    </w:p>
    <w:tbl>
      <w:tblPr>
        <w:tblStyle w:val="11"/>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8"/>
        <w:gridCol w:w="1405"/>
        <w:gridCol w:w="6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3" w:hRule="atLeast"/>
          <w:jc w:val="center"/>
        </w:trPr>
        <w:tc>
          <w:tcPr>
            <w:tcW w:w="2913" w:type="dxa"/>
            <w:gridSpan w:val="2"/>
            <w:noWrap w:val="0"/>
            <w:vAlign w:val="center"/>
          </w:tcPr>
          <w:p>
            <w:pPr>
              <w:tabs>
                <w:tab w:val="left" w:pos="1260"/>
              </w:tabs>
              <w:autoSpaceDE w:val="0"/>
              <w:autoSpaceDN w:val="0"/>
              <w:adjustRightInd w:val="0"/>
              <w:snapToGrid w:val="0"/>
              <w:spacing w:line="276" w:lineRule="auto"/>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分值构成</w:t>
            </w:r>
          </w:p>
          <w:p>
            <w:pPr>
              <w:tabs>
                <w:tab w:val="left" w:pos="1260"/>
              </w:tabs>
              <w:autoSpaceDE w:val="0"/>
              <w:autoSpaceDN w:val="0"/>
              <w:adjustRightInd w:val="0"/>
              <w:snapToGrid w:val="0"/>
              <w:spacing w:line="276" w:lineRule="auto"/>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(总分100分)</w:t>
            </w:r>
          </w:p>
        </w:tc>
        <w:tc>
          <w:tcPr>
            <w:tcW w:w="6786" w:type="dxa"/>
            <w:noWrap w:val="0"/>
            <w:vAlign w:val="center"/>
          </w:tcPr>
          <w:p>
            <w:pPr>
              <w:tabs>
                <w:tab w:val="left" w:pos="1260"/>
              </w:tabs>
              <w:autoSpaceDE w:val="0"/>
              <w:autoSpaceDN w:val="0"/>
              <w:adjustRightInd w:val="0"/>
              <w:snapToGrid w:val="0"/>
              <w:spacing w:line="276" w:lineRule="auto"/>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价格分值：</w:t>
            </w:r>
            <w:r>
              <w:rPr>
                <w:rFonts w:hint="eastAsia" w:ascii="仿宋_GB2312" w:hAnsi="仿宋_GB2312" w:eastAsia="仿宋_GB2312" w:cs="仿宋_GB2312"/>
                <w:sz w:val="32"/>
                <w:szCs w:val="32"/>
                <w:u w:val="single"/>
                <w:lang w:val="en-US" w:eastAsia="zh-CN"/>
              </w:rPr>
              <w:t xml:space="preserve"> 40 </w:t>
            </w:r>
            <w:r>
              <w:rPr>
                <w:rFonts w:hint="eastAsia" w:ascii="仿宋_GB2312" w:hAnsi="仿宋_GB2312" w:eastAsia="仿宋_GB2312" w:cs="仿宋_GB2312"/>
                <w:sz w:val="32"/>
                <w:szCs w:val="32"/>
                <w:u w:val="single"/>
                <w:lang w:val="zh-CN"/>
              </w:rPr>
              <w:t>分</w:t>
            </w:r>
          </w:p>
          <w:p>
            <w:pPr>
              <w:tabs>
                <w:tab w:val="left" w:pos="1260"/>
              </w:tabs>
              <w:autoSpaceDE w:val="0"/>
              <w:autoSpaceDN w:val="0"/>
              <w:adjustRightInd w:val="0"/>
              <w:snapToGrid w:val="0"/>
              <w:spacing w:line="276" w:lineRule="auto"/>
              <w:jc w:val="left"/>
              <w:rPr>
                <w:rFonts w:hint="eastAsia" w:ascii="仿宋_GB2312" w:hAnsi="仿宋_GB2312" w:eastAsia="仿宋_GB2312" w:cs="仿宋_GB2312"/>
                <w:sz w:val="32"/>
                <w:szCs w:val="32"/>
                <w:u w:val="single"/>
                <w:lang w:val="zh-CN"/>
              </w:rPr>
            </w:pPr>
            <w:r>
              <w:rPr>
                <w:rFonts w:hint="eastAsia" w:ascii="仿宋_GB2312" w:hAnsi="仿宋_GB2312" w:eastAsia="仿宋_GB2312" w:cs="仿宋_GB2312"/>
                <w:sz w:val="32"/>
                <w:szCs w:val="32"/>
                <w:lang w:val="en-US" w:eastAsia="zh-CN"/>
              </w:rPr>
              <w:t>业绩</w:t>
            </w:r>
            <w:r>
              <w:rPr>
                <w:rFonts w:hint="eastAsia" w:ascii="仿宋_GB2312" w:hAnsi="仿宋_GB2312" w:eastAsia="仿宋_GB2312" w:cs="仿宋_GB2312"/>
                <w:sz w:val="32"/>
                <w:szCs w:val="32"/>
                <w:lang w:val="zh-CN"/>
              </w:rPr>
              <w:t>部分：</w:t>
            </w:r>
            <w:r>
              <w:rPr>
                <w:rFonts w:hint="eastAsia" w:ascii="仿宋_GB2312" w:hAnsi="仿宋_GB2312" w:eastAsia="仿宋_GB2312" w:cs="仿宋_GB2312"/>
                <w:sz w:val="32"/>
                <w:szCs w:val="32"/>
                <w:u w:val="single"/>
                <w:lang w:val="en-US" w:eastAsia="zh-CN"/>
              </w:rPr>
              <w:t xml:space="preserve"> 20 </w:t>
            </w:r>
            <w:r>
              <w:rPr>
                <w:rFonts w:hint="eastAsia" w:ascii="仿宋_GB2312" w:hAnsi="仿宋_GB2312" w:eastAsia="仿宋_GB2312" w:cs="仿宋_GB2312"/>
                <w:sz w:val="32"/>
                <w:szCs w:val="32"/>
                <w:u w:val="single"/>
                <w:lang w:val="zh-CN"/>
              </w:rPr>
              <w:t>分</w:t>
            </w:r>
          </w:p>
          <w:p>
            <w:pPr>
              <w:tabs>
                <w:tab w:val="left" w:pos="1260"/>
              </w:tabs>
              <w:autoSpaceDE w:val="0"/>
              <w:autoSpaceDN w:val="0"/>
              <w:adjustRightInd w:val="0"/>
              <w:snapToGrid w:val="0"/>
              <w:spacing w:line="276" w:lineRule="auto"/>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服务方案</w:t>
            </w:r>
            <w:r>
              <w:rPr>
                <w:rFonts w:hint="eastAsia" w:ascii="仿宋_GB2312" w:hAnsi="仿宋_GB2312" w:eastAsia="仿宋_GB2312" w:cs="仿宋_GB2312"/>
                <w:sz w:val="32"/>
                <w:szCs w:val="32"/>
                <w:lang w:val="zh-CN" w:eastAsia="zh-CN"/>
              </w:rPr>
              <w:t>部分：</w:t>
            </w:r>
            <w:r>
              <w:rPr>
                <w:rFonts w:hint="eastAsia" w:ascii="仿宋_GB2312" w:hAnsi="仿宋_GB2312" w:eastAsia="仿宋_GB2312" w:cs="仿宋_GB2312"/>
                <w:sz w:val="32"/>
                <w:szCs w:val="32"/>
                <w:u w:val="single"/>
                <w:lang w:val="en-US" w:eastAsia="zh-CN"/>
              </w:rPr>
              <w:t xml:space="preserve"> 40</w:t>
            </w:r>
            <w:r>
              <w:rPr>
                <w:rFonts w:hint="eastAsia" w:ascii="仿宋_GB2312" w:hAnsi="仿宋_GB2312" w:eastAsia="仿宋_GB2312" w:cs="仿宋_GB2312"/>
                <w:sz w:val="32"/>
                <w:szCs w:val="32"/>
                <w:u w:val="single"/>
                <w:lang w:val="zh-CN" w:eastAsia="zh-CN"/>
              </w:rPr>
              <w:t xml:space="preserve">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508" w:type="dxa"/>
            <w:noWrap w:val="0"/>
            <w:tcMar>
              <w:top w:w="0" w:type="dxa"/>
              <w:left w:w="0" w:type="dxa"/>
              <w:bottom w:w="0" w:type="dxa"/>
              <w:right w:w="0" w:type="dxa"/>
            </w:tcMar>
            <w:vAlign w:val="center"/>
          </w:tcPr>
          <w:p>
            <w:pPr>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评审项</w:t>
            </w:r>
          </w:p>
        </w:tc>
        <w:tc>
          <w:tcPr>
            <w:tcW w:w="1405" w:type="dxa"/>
            <w:noWrap w:val="0"/>
            <w:tcMar>
              <w:top w:w="0" w:type="dxa"/>
              <w:left w:w="0" w:type="dxa"/>
              <w:bottom w:w="0" w:type="dxa"/>
              <w:right w:w="0" w:type="dxa"/>
            </w:tcMar>
            <w:vAlign w:val="center"/>
          </w:tcPr>
          <w:p>
            <w:pPr>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评分因素</w:t>
            </w:r>
          </w:p>
        </w:tc>
        <w:tc>
          <w:tcPr>
            <w:tcW w:w="6786" w:type="dxa"/>
            <w:noWrap w:val="0"/>
            <w:tcMar>
              <w:top w:w="0" w:type="dxa"/>
              <w:left w:w="0" w:type="dxa"/>
              <w:bottom w:w="0" w:type="dxa"/>
              <w:right w:w="0" w:type="dxa"/>
            </w:tcMar>
            <w:vAlign w:val="center"/>
          </w:tcPr>
          <w:p>
            <w:pPr>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评标标准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jc w:val="center"/>
        </w:trPr>
        <w:tc>
          <w:tcPr>
            <w:tcW w:w="1508" w:type="dxa"/>
            <w:noWrap w:val="0"/>
            <w:tcMar>
              <w:top w:w="0" w:type="dxa"/>
              <w:left w:w="0" w:type="dxa"/>
              <w:bottom w:w="0" w:type="dxa"/>
              <w:right w:w="0" w:type="dxa"/>
            </w:tcMar>
            <w:vAlign w:val="center"/>
          </w:tcPr>
          <w:p>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企业</w:t>
            </w:r>
            <w:r>
              <w:rPr>
                <w:rFonts w:hint="eastAsia" w:ascii="仿宋_GB2312" w:hAnsi="仿宋_GB2312" w:eastAsia="仿宋_GB2312" w:cs="仿宋_GB2312"/>
                <w:sz w:val="32"/>
                <w:szCs w:val="32"/>
              </w:rPr>
              <w:t>报价</w:t>
            </w:r>
          </w:p>
          <w:p>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40</w:t>
            </w:r>
            <w:r>
              <w:rPr>
                <w:rFonts w:hint="eastAsia" w:ascii="仿宋_GB2312" w:hAnsi="仿宋_GB2312" w:eastAsia="仿宋_GB2312" w:cs="仿宋_GB2312"/>
                <w:sz w:val="32"/>
                <w:szCs w:val="32"/>
              </w:rPr>
              <w:t>分）</w:t>
            </w:r>
          </w:p>
        </w:tc>
        <w:tc>
          <w:tcPr>
            <w:tcW w:w="1405" w:type="dxa"/>
            <w:noWrap w:val="0"/>
            <w:tcMar>
              <w:top w:w="0" w:type="dxa"/>
              <w:left w:w="0" w:type="dxa"/>
              <w:bottom w:w="0" w:type="dxa"/>
              <w:right w:w="0" w:type="dxa"/>
            </w:tcMar>
            <w:vAlign w:val="center"/>
          </w:tcPr>
          <w:p>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报价得分</w:t>
            </w:r>
          </w:p>
          <w:p>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40</w:t>
            </w:r>
            <w:r>
              <w:rPr>
                <w:rFonts w:hint="eastAsia" w:ascii="仿宋_GB2312" w:hAnsi="仿宋_GB2312" w:eastAsia="仿宋_GB2312" w:cs="仿宋_GB2312"/>
                <w:sz w:val="32"/>
                <w:szCs w:val="32"/>
              </w:rPr>
              <w:t>分）</w:t>
            </w:r>
          </w:p>
        </w:tc>
        <w:tc>
          <w:tcPr>
            <w:tcW w:w="6786" w:type="dxa"/>
            <w:noWrap w:val="0"/>
            <w:tcMar>
              <w:top w:w="0" w:type="dxa"/>
              <w:left w:w="0" w:type="dxa"/>
              <w:bottom w:w="0" w:type="dxa"/>
              <w:right w:w="0" w:type="dxa"/>
            </w:tcMar>
            <w:vAlign w:val="center"/>
          </w:tcPr>
          <w:p>
            <w:pPr>
              <w:widowControl/>
              <w:spacing w:line="440" w:lineRule="exact"/>
              <w:jc w:val="left"/>
              <w:textAlignment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1.收费超过</w:t>
            </w:r>
            <w:r>
              <w:rPr>
                <w:rFonts w:hint="eastAsia" w:ascii="仿宋_GB2312" w:hAnsi="仿宋_GB2312" w:eastAsia="仿宋_GB2312" w:cs="仿宋_GB2312"/>
                <w:sz w:val="32"/>
                <w:szCs w:val="32"/>
                <w:lang w:val="en-US" w:eastAsia="zh-CN"/>
              </w:rPr>
              <w:t>控制价的</w:t>
            </w:r>
            <w:r>
              <w:rPr>
                <w:rFonts w:hint="eastAsia" w:ascii="仿宋_GB2312" w:hAnsi="仿宋_GB2312" w:eastAsia="仿宋_GB2312" w:cs="仿宋_GB2312"/>
                <w:sz w:val="32"/>
                <w:szCs w:val="32"/>
                <w:lang w:val="zh-CN"/>
              </w:rPr>
              <w:t>为无效报价；</w:t>
            </w:r>
          </w:p>
          <w:p>
            <w:pPr>
              <w:widowControl/>
              <w:adjustRightInd w:val="0"/>
              <w:snapToGrid w:val="0"/>
              <w:spacing w:line="276" w:lineRule="auto"/>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rPr>
              <w:t>评标基准价：满足招标文件要求的</w:t>
            </w:r>
            <w:r>
              <w:rPr>
                <w:rFonts w:hint="eastAsia" w:ascii="仿宋_GB2312" w:hAnsi="仿宋_GB2312" w:eastAsia="仿宋_GB2312" w:cs="仿宋_GB2312"/>
                <w:sz w:val="32"/>
                <w:szCs w:val="32"/>
                <w:lang w:val="en-US" w:eastAsia="zh-CN"/>
              </w:rPr>
              <w:t>所</w:t>
            </w:r>
            <w:r>
              <w:rPr>
                <w:rFonts w:hint="eastAsia" w:ascii="仿宋_GB2312" w:hAnsi="仿宋_GB2312" w:eastAsia="仿宋_GB2312" w:cs="仿宋_GB2312"/>
                <w:sz w:val="32"/>
                <w:szCs w:val="32"/>
                <w:lang w:val="zh-CN"/>
              </w:rPr>
              <w:t>有</w:t>
            </w:r>
            <w:r>
              <w:rPr>
                <w:rFonts w:hint="eastAsia" w:ascii="仿宋_GB2312" w:hAnsi="仿宋_GB2312" w:eastAsia="仿宋_GB2312" w:cs="仿宋_GB2312"/>
                <w:sz w:val="32"/>
                <w:szCs w:val="32"/>
                <w:lang w:val="en-US" w:eastAsia="zh-CN"/>
              </w:rPr>
              <w:t>有</w:t>
            </w:r>
            <w:r>
              <w:rPr>
                <w:rFonts w:hint="eastAsia" w:ascii="仿宋_GB2312" w:hAnsi="仿宋_GB2312" w:eastAsia="仿宋_GB2312" w:cs="仿宋_GB2312"/>
                <w:sz w:val="32"/>
                <w:szCs w:val="32"/>
                <w:lang w:val="zh-CN"/>
              </w:rPr>
              <w:t>效投标报价中，最低的投标报价为评标基准价。</w:t>
            </w:r>
          </w:p>
          <w:p>
            <w:pPr>
              <w:widowControl/>
              <w:adjustRightInd w:val="0"/>
              <w:snapToGrid w:val="0"/>
              <w:spacing w:line="276"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lang w:val="zh-CN"/>
                <w14:textFill>
                  <w14:solidFill>
                    <w14:schemeClr w14:val="tx1"/>
                  </w14:solidFill>
                </w14:textFill>
              </w:rPr>
              <w:t>投标报价得分=（基准价/</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企业</w:t>
            </w:r>
            <w:r>
              <w:rPr>
                <w:rFonts w:hint="eastAsia" w:ascii="仿宋_GB2312" w:hAnsi="仿宋_GB2312" w:eastAsia="仿宋_GB2312" w:cs="仿宋_GB2312"/>
                <w:color w:val="000000" w:themeColor="text1"/>
                <w:sz w:val="32"/>
                <w:szCs w:val="32"/>
                <w:lang w:val="zh-CN"/>
                <w14:textFill>
                  <w14:solidFill>
                    <w14:schemeClr w14:val="tx1"/>
                  </w14:solidFill>
                </w14:textFill>
              </w:rPr>
              <w:t>报价）×</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40</w:t>
            </w:r>
            <w:r>
              <w:rPr>
                <w:rFonts w:hint="eastAsia" w:ascii="仿宋_GB2312" w:hAnsi="仿宋_GB2312" w:eastAsia="仿宋_GB2312" w:cs="仿宋_GB2312"/>
                <w:color w:val="000000" w:themeColor="text1"/>
                <w:sz w:val="32"/>
                <w:szCs w:val="32"/>
                <w:lang w:val="zh-CN"/>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1508" w:type="dxa"/>
            <w:noWrap w:val="0"/>
            <w:tcMar>
              <w:top w:w="0" w:type="dxa"/>
              <w:left w:w="0" w:type="dxa"/>
              <w:bottom w:w="0" w:type="dxa"/>
              <w:right w:w="0" w:type="dxa"/>
            </w:tcMar>
            <w:vAlign w:val="center"/>
          </w:tcPr>
          <w:p>
            <w:pPr>
              <w:adjustRightInd w:val="0"/>
              <w:snapToGrid w:val="0"/>
              <w:spacing w:line="276" w:lineRule="auto"/>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企业</w:t>
            </w:r>
            <w:r>
              <w:rPr>
                <w:rFonts w:hint="eastAsia" w:ascii="仿宋_GB2312" w:hAnsi="仿宋_GB2312" w:eastAsia="仿宋_GB2312" w:cs="仿宋_GB2312"/>
                <w:sz w:val="32"/>
                <w:szCs w:val="32"/>
              </w:rPr>
              <w:t>业绩</w:t>
            </w:r>
          </w:p>
          <w:p>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分）</w:t>
            </w:r>
          </w:p>
        </w:tc>
        <w:tc>
          <w:tcPr>
            <w:tcW w:w="1405" w:type="dxa"/>
            <w:noWrap w:val="0"/>
            <w:tcMar>
              <w:top w:w="0" w:type="dxa"/>
              <w:left w:w="0" w:type="dxa"/>
              <w:bottom w:w="0" w:type="dxa"/>
              <w:right w:w="0" w:type="dxa"/>
            </w:tcMar>
            <w:vAlign w:val="center"/>
          </w:tcPr>
          <w:p>
            <w:pPr>
              <w:adjustRightInd w:val="0"/>
              <w:snapToGrid w:val="0"/>
              <w:spacing w:line="276" w:lineRule="auto"/>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业绩</w:t>
            </w:r>
          </w:p>
          <w:p>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分）</w:t>
            </w:r>
          </w:p>
        </w:tc>
        <w:tc>
          <w:tcPr>
            <w:tcW w:w="6786" w:type="dxa"/>
            <w:noWrap w:val="0"/>
            <w:tcMar>
              <w:top w:w="0" w:type="dxa"/>
              <w:left w:w="0" w:type="dxa"/>
              <w:bottom w:w="0" w:type="dxa"/>
              <w:right w:w="0" w:type="dxa"/>
            </w:tcMar>
            <w:vAlign w:val="center"/>
          </w:tcPr>
          <w:p>
            <w:pPr>
              <w:widowControl/>
              <w:adjustRightInd w:val="0"/>
              <w:snapToGrid w:val="0"/>
              <w:spacing w:line="276" w:lineRule="auto"/>
              <w:jc w:val="both"/>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每提供一份评估服务证明材料得10分，最高20分。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1508" w:type="dxa"/>
            <w:noWrap w:val="0"/>
            <w:tcMar>
              <w:top w:w="0" w:type="dxa"/>
              <w:left w:w="0" w:type="dxa"/>
              <w:bottom w:w="0" w:type="dxa"/>
              <w:right w:w="0" w:type="dxa"/>
            </w:tcMar>
            <w:vAlign w:val="center"/>
          </w:tcPr>
          <w:p>
            <w:pPr>
              <w:adjustRightInd w:val="0"/>
              <w:snapToGrid w:val="0"/>
              <w:spacing w:line="276" w:lineRule="auto"/>
              <w:jc w:val="center"/>
              <w:rPr>
                <w:rFonts w:hint="eastAsia"/>
                <w:lang w:val="en-US" w:eastAsia="zh-CN"/>
              </w:rPr>
            </w:pPr>
            <w:r>
              <w:rPr>
                <w:rFonts w:hint="eastAsia" w:ascii="仿宋_GB2312" w:hAnsi="仿宋_GB2312" w:eastAsia="仿宋_GB2312" w:cs="仿宋_GB2312"/>
                <w:sz w:val="32"/>
                <w:szCs w:val="32"/>
                <w:lang w:val="en-US" w:eastAsia="zh-CN"/>
              </w:rPr>
              <w:t>服务方案（40分）</w:t>
            </w:r>
          </w:p>
        </w:tc>
        <w:tc>
          <w:tcPr>
            <w:tcW w:w="1405" w:type="dxa"/>
            <w:noWrap w:val="0"/>
            <w:tcMar>
              <w:top w:w="0" w:type="dxa"/>
              <w:left w:w="0" w:type="dxa"/>
              <w:bottom w:w="0" w:type="dxa"/>
              <w:right w:w="0" w:type="dxa"/>
            </w:tcMar>
            <w:vAlign w:val="center"/>
          </w:tcPr>
          <w:p>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项目服务方案</w:t>
            </w:r>
          </w:p>
          <w:p>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（40分）</w:t>
            </w:r>
          </w:p>
        </w:tc>
        <w:tc>
          <w:tcPr>
            <w:tcW w:w="6786" w:type="dxa"/>
            <w:noWrap w:val="0"/>
            <w:tcMar>
              <w:top w:w="0" w:type="dxa"/>
              <w:left w:w="0" w:type="dxa"/>
              <w:bottom w:w="0" w:type="dxa"/>
              <w:right w:w="0" w:type="dxa"/>
            </w:tcMar>
            <w:vAlign w:val="center"/>
          </w:tcPr>
          <w:p>
            <w:pPr>
              <w:widowControl/>
              <w:numPr>
                <w:ilvl w:val="0"/>
                <w:numId w:val="0"/>
              </w:numPr>
              <w:adjustRightInd w:val="0"/>
              <w:snapToGrid w:val="0"/>
              <w:spacing w:line="276" w:lineRule="auto"/>
              <w:ind w:leftChars="0"/>
              <w:jc w:val="both"/>
              <w:rPr>
                <w:rFonts w:hint="default"/>
                <w:lang w:val="en-US" w:eastAsia="zh-CN"/>
              </w:rPr>
            </w:pPr>
            <w:r>
              <w:rPr>
                <w:rFonts w:hint="eastAsia" w:ascii="仿宋_GB2312" w:hAnsi="仿宋_GB2312" w:eastAsia="仿宋_GB2312" w:cs="仿宋_GB2312"/>
                <w:sz w:val="32"/>
                <w:szCs w:val="32"/>
                <w:lang w:val="en-US" w:eastAsia="zh-CN"/>
              </w:rPr>
              <w:t>提供服务方案优秀的得40分；良好的得20分；没有服务方案不得分。</w:t>
            </w:r>
          </w:p>
        </w:tc>
      </w:tr>
    </w:tbl>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lang w:val="zh-CN" w:eastAsia="zh-CN"/>
        </w:rPr>
        <w:t>）推荐</w:t>
      </w:r>
      <w:r>
        <w:rPr>
          <w:rFonts w:hint="eastAsia" w:ascii="仿宋_GB2312" w:hAnsi="仿宋_GB2312" w:eastAsia="仿宋_GB2312" w:cs="仿宋_GB2312"/>
          <w:b/>
          <w:bCs/>
          <w:sz w:val="32"/>
          <w:szCs w:val="32"/>
          <w:lang w:val="en-US" w:eastAsia="zh-CN"/>
        </w:rPr>
        <w:t>中标</w:t>
      </w:r>
      <w:r>
        <w:rPr>
          <w:rFonts w:hint="eastAsia" w:ascii="仿宋_GB2312" w:hAnsi="仿宋_GB2312" w:eastAsia="仿宋_GB2312" w:cs="仿宋_GB2312"/>
          <w:b/>
          <w:bCs/>
          <w:sz w:val="32"/>
          <w:szCs w:val="32"/>
          <w:lang w:val="zh-CN" w:eastAsia="zh-CN"/>
        </w:rPr>
        <w:t>候选人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lang w:val="zh-CN" w:eastAsia="zh-CN"/>
        </w:rPr>
        <w:t>评审小组根据综合评分情况，按照评审得分由高到低顺序推荐</w:t>
      </w:r>
      <w:r>
        <w:rPr>
          <w:rFonts w:hint="eastAsia" w:ascii="仿宋" w:hAnsi="仿宋" w:eastAsia="仿宋" w:cs="仿宋"/>
          <w:sz w:val="32"/>
          <w:szCs w:val="32"/>
          <w:lang w:val="en-US" w:eastAsia="zh-CN"/>
        </w:rPr>
        <w:t>1</w:t>
      </w:r>
      <w:r>
        <w:rPr>
          <w:rFonts w:hint="eastAsia" w:ascii="仿宋" w:hAnsi="仿宋" w:eastAsia="仿宋" w:cs="仿宋"/>
          <w:sz w:val="32"/>
          <w:szCs w:val="32"/>
          <w:lang w:val="zh-CN" w:eastAsia="zh-CN"/>
        </w:rPr>
        <w:t>名中标候选人。</w:t>
      </w:r>
      <w:r>
        <w:rPr>
          <w:rFonts w:hint="eastAsia" w:ascii="仿宋" w:hAnsi="仿宋" w:eastAsia="仿宋" w:cs="仿宋"/>
          <w:sz w:val="32"/>
          <w:szCs w:val="32"/>
          <w:highlight w:val="none"/>
          <w:lang w:val="zh-CN" w:eastAsia="zh-CN"/>
        </w:rPr>
        <w:t>评审得分相同的，</w:t>
      </w:r>
      <w:r>
        <w:rPr>
          <w:rFonts w:hint="eastAsia" w:ascii="仿宋" w:hAnsi="仿宋" w:eastAsia="仿宋" w:cs="仿宋"/>
          <w:sz w:val="32"/>
          <w:szCs w:val="32"/>
          <w:highlight w:val="none"/>
          <w:lang w:val="en-US" w:eastAsia="zh-CN"/>
        </w:rPr>
        <w:t>以报价最低者为</w:t>
      </w:r>
      <w:r>
        <w:rPr>
          <w:rFonts w:hint="eastAsia" w:ascii="仿宋" w:hAnsi="仿宋" w:eastAsia="仿宋" w:cs="仿宋"/>
          <w:sz w:val="32"/>
          <w:szCs w:val="32"/>
          <w:highlight w:val="none"/>
          <w:lang w:val="zh-CN" w:eastAsia="zh-CN"/>
        </w:rPr>
        <w:t>中标候选人；</w:t>
      </w:r>
      <w:r>
        <w:rPr>
          <w:rFonts w:hint="eastAsia" w:ascii="仿宋" w:hAnsi="仿宋" w:eastAsia="仿宋" w:cs="仿宋"/>
          <w:sz w:val="32"/>
          <w:szCs w:val="32"/>
          <w:highlight w:val="none"/>
          <w:lang w:val="en-US" w:eastAsia="zh-CN"/>
        </w:rPr>
        <w:t>评审得分相同且报价相同的，以服务方案部分得分较高者为中标候选人。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highlight w:val="yellow"/>
          <w:lang w:val="en-US" w:eastAsia="zh-CN"/>
        </w:rPr>
      </w:pPr>
    </w:p>
    <w:p>
      <w:pPr>
        <w:pStyle w:val="2"/>
        <w:numPr>
          <w:numId w:val="0"/>
        </w:numPr>
        <w:ind w:leftChars="0"/>
        <w:jc w:val="both"/>
        <w:rPr>
          <w:rFonts w:hint="eastAsia"/>
          <w:lang w:val="en-US" w:eastAsia="zh-CN"/>
        </w:rPr>
      </w:pPr>
    </w:p>
    <w:p>
      <w:pPr>
        <w:rPr>
          <w:rFonts w:hint="eastAsia"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仿宋_GB2312" w:eastAsia="仿宋_GB2312" w:cs="仿宋_GB2312"/>
          <w:sz w:val="32"/>
          <w:szCs w:val="32"/>
          <w:highlight w:val="yellow"/>
          <w:lang w:val="en-US" w:eastAsia="zh-CN"/>
        </w:rPr>
      </w:pP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8"/>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chineseCounting"/>
      <w:pStyle w:val="2"/>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00172A27"/>
    <w:rsid w:val="033A76CC"/>
    <w:rsid w:val="07FF36BC"/>
    <w:rsid w:val="0F1958F7"/>
    <w:rsid w:val="117E16C8"/>
    <w:rsid w:val="1DC22489"/>
    <w:rsid w:val="27BF38CF"/>
    <w:rsid w:val="2BC62952"/>
    <w:rsid w:val="331104CE"/>
    <w:rsid w:val="3BFE6232"/>
    <w:rsid w:val="438D7307"/>
    <w:rsid w:val="454A3AE3"/>
    <w:rsid w:val="461026EE"/>
    <w:rsid w:val="464042EF"/>
    <w:rsid w:val="4A3D2009"/>
    <w:rsid w:val="596040BD"/>
    <w:rsid w:val="61215F42"/>
    <w:rsid w:val="629E645C"/>
    <w:rsid w:val="63B41DA5"/>
    <w:rsid w:val="655F1E1A"/>
    <w:rsid w:val="6BA97B57"/>
    <w:rsid w:val="6CAC04F4"/>
    <w:rsid w:val="70D44079"/>
    <w:rsid w:val="77E5740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numPr>
        <w:ilvl w:val="0"/>
        <w:numId w:val="1"/>
      </w:numPr>
      <w:spacing w:before="100" w:beforeLines="0" w:after="100" w:afterLines="0" w:line="240" w:lineRule="atLeast"/>
      <w:jc w:val="center"/>
      <w:outlineLvl w:val="0"/>
    </w:pPr>
    <w:rPr>
      <w:rFonts w:ascii="Times New Roman" w:hAnsi="Times New Roman"/>
      <w:b/>
      <w:bCs/>
      <w:kern w:val="44"/>
      <w:sz w:val="36"/>
      <w:szCs w:val="44"/>
    </w:rPr>
  </w:style>
  <w:style w:type="paragraph" w:styleId="3">
    <w:name w:val="heading 2"/>
    <w:basedOn w:val="1"/>
    <w:next w:val="1"/>
    <w:qFormat/>
    <w:uiPriority w:val="0"/>
    <w:pPr>
      <w:keepNext/>
      <w:keepLines/>
      <w:spacing w:before="100" w:beforeLines="0" w:beforeAutospacing="0" w:after="100" w:afterLines="0" w:afterAutospacing="0" w:line="240" w:lineRule="auto"/>
      <w:ind w:firstLine="0" w:firstLineChars="0"/>
      <w:outlineLvl w:val="1"/>
    </w:pPr>
    <w:rPr>
      <w:b/>
      <w:sz w:val="32"/>
    </w:rPr>
  </w:style>
  <w:style w:type="character" w:default="1" w:styleId="12">
    <w:name w:val="Default Paragraph Font"/>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pPr>
      <w:jc w:val="center"/>
    </w:pPr>
    <w:rPr>
      <w:rFonts w:ascii="Times New Roman" w:hAnsi="Times New Roman" w:eastAsia="黑体" w:cs="Times New Roman"/>
      <w:sz w:val="36"/>
      <w:szCs w:val="20"/>
    </w:rPr>
  </w:style>
  <w:style w:type="paragraph" w:styleId="5">
    <w:name w:val="Body Text First Indent"/>
    <w:basedOn w:val="4"/>
    <w:next w:val="6"/>
    <w:autoRedefine/>
    <w:qFormat/>
    <w:uiPriority w:val="0"/>
    <w:pPr>
      <w:ind w:firstLine="420" w:firstLineChars="100"/>
    </w:pPr>
    <w:rPr>
      <w:rFonts w:ascii="宋体" w:hAnsi="Times New Roman" w:eastAsia="宋体" w:cs="Times New Roman"/>
      <w:kern w:val="0"/>
      <w:sz w:val="34"/>
      <w:szCs w:val="20"/>
    </w:rPr>
  </w:style>
  <w:style w:type="paragraph" w:customStyle="1" w:styleId="6">
    <w:name w:val="List Paragraph1"/>
    <w:basedOn w:val="1"/>
    <w:next w:val="1"/>
    <w:qFormat/>
    <w:uiPriority w:val="0"/>
    <w:pPr>
      <w:widowControl w:val="0"/>
      <w:autoSpaceDE/>
      <w:autoSpaceDN/>
      <w:spacing w:before="0" w:beforeLines="0" w:after="0" w:afterLines="0" w:line="240" w:lineRule="auto"/>
      <w:ind w:left="420" w:firstLine="3748"/>
      <w:jc w:val="both"/>
    </w:pPr>
  </w:style>
  <w:style w:type="paragraph" w:styleId="7">
    <w:name w:val="Plain Text"/>
    <w:basedOn w:val="1"/>
    <w:qFormat/>
    <w:uiPriority w:val="0"/>
    <w:rPr>
      <w:sz w:val="24"/>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100" w:beforeLines="0" w:beforeAutospacing="1" w:after="100" w:afterLines="0" w:afterAutospacing="1"/>
      <w:ind w:left="0" w:right="0"/>
      <w:jc w:val="left"/>
    </w:pPr>
    <w:rPr>
      <w:kern w:val="0"/>
      <w:sz w:val="24"/>
      <w:lang w:val="en-US" w:eastAsia="zh-CN" w:bidi="ar"/>
    </w:rPr>
  </w:style>
  <w:style w:type="character" w:styleId="13">
    <w:name w:val="Hyperlink"/>
    <w:basedOn w:val="12"/>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1071</Words>
  <Characters>1151</Characters>
  <Lines>0</Lines>
  <Paragraphs>0</Paragraphs>
  <TotalTime>0</TotalTime>
  <ScaleCrop>false</ScaleCrop>
  <LinksUpToDate>false</LinksUpToDate>
  <CharactersWithSpaces>1179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zhb1</cp:lastModifiedBy>
  <cp:lastPrinted>2023-12-29T00:59:00Z</cp:lastPrinted>
  <dcterms:modified xsi:type="dcterms:W3CDTF">2024-01-11T11:36:53Z</dcterms:modified>
  <dc:title>关于许禹供热长输管线项目勘察设计招标代理机构询比采购的邀请函</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8B8F7853CDD947F0BE241D3516D7D0E0_13</vt:lpwstr>
  </property>
  <property fmtid="{D5CDD505-2E9C-101B-9397-08002B2CF9AE}" pid="4" name="commondata">
    <vt:lpwstr>eyJoZGlkIjoiN2I0NDMxMDhhNzIxZjIxM2FiMjFkZWExNzY4MTY3OTUifQ==</vt:lpwstr>
  </property>
</Properties>
</file>