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pPr>
        <w:shd w:val="clear" w:color="auto" w:fill="auto"/>
        <w:spacing w:line="560" w:lineRule="exact"/>
        <w:jc w:val="center"/>
        <w:rPr>
          <w:rFonts w:ascii="仿宋_GB2312" w:hAnsi="仿宋" w:eastAsia="仿宋_GB2312" w:cs="仿宋"/>
          <w:b/>
          <w:sz w:val="32"/>
          <w:szCs w:val="32"/>
        </w:rPr>
      </w:pPr>
    </w:p>
    <w:tbl>
      <w:tblPr>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34"/>
        <w:gridCol w:w="5549"/>
      </w:tblGrid>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仿宋_GB2312" w:eastAsia="仿宋_GB2312" w:cs="仿宋_GB2312"/>
                <w:b/>
                <w:color w:val="000000"/>
                <w:kern w:val="0"/>
                <w:sz w:val="32"/>
                <w:szCs w:val="32"/>
                <w:lang/>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wordWrap/>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kern w:val="0"/>
                <w:sz w:val="32"/>
                <w:szCs w:val="32"/>
                <w:lang w:val="en-US" w:eastAsia="zh-CN"/>
              </w:rPr>
              <w:t>许襄供热长距离管网建设项目可研报告编制服务</w:t>
            </w:r>
          </w:p>
        </w:tc>
      </w:tr>
      <w:tr>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rPr>
            </w:pPr>
            <w:r>
              <w:rPr>
                <w:rFonts w:hint="eastAsia" w:ascii="仿宋_GB2312" w:hAnsi="宋体" w:eastAsia="仿宋_GB2312" w:cs="仿宋_GB2312"/>
                <w:b/>
                <w:color w:val="000000"/>
                <w:kern w:val="0"/>
                <w:sz w:val="32"/>
                <w:szCs w:val="32"/>
                <w:lang/>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rPr>
            </w:pPr>
            <w:r>
              <w:rPr>
                <w:rFonts w:hint="eastAsia" w:ascii="仿宋_GB2312" w:hAnsi="宋体" w:eastAsia="仿宋_GB2312" w:cs="仿宋_GB2312"/>
                <w:b/>
                <w:color w:val="000000"/>
                <w:kern w:val="0"/>
                <w:sz w:val="32"/>
                <w:szCs w:val="32"/>
                <w:lang/>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rPr>
            </w:pPr>
            <w:r>
              <w:rPr>
                <w:rFonts w:hint="eastAsia" w:ascii="仿宋_GB2312" w:hAnsi="宋体" w:eastAsia="仿宋_GB2312" w:cs="仿宋_GB2312"/>
                <w:b/>
                <w:color w:val="000000"/>
                <w:kern w:val="0"/>
                <w:sz w:val="32"/>
                <w:szCs w:val="32"/>
                <w:lang/>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rPr>
            </w:pPr>
            <w:r>
              <w:rPr>
                <w:rFonts w:hint="eastAsia" w:ascii="仿宋_GB2312" w:hAnsi="宋体" w:eastAsia="仿宋_GB2312" w:cs="仿宋_GB2312"/>
                <w:b/>
                <w:color w:val="000000"/>
                <w:kern w:val="0"/>
                <w:sz w:val="32"/>
                <w:szCs w:val="32"/>
                <w:lang/>
              </w:rPr>
              <w:t xml:space="preserve">     </w:t>
            </w:r>
            <w:r>
              <w:rPr>
                <w:rFonts w:hint="eastAsia" w:ascii="仿宋_GB2312" w:hAnsi="仿宋_GB2312" w:eastAsia="仿宋_GB2312" w:cs="仿宋_GB2312"/>
                <w:sz w:val="32"/>
                <w:szCs w:val="32"/>
                <w:highlight w:val="none"/>
                <w:lang w:val="en-US" w:eastAsia="zh-CN"/>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附件2</w:t>
      </w:r>
    </w:p>
    <w:p>
      <w:pPr>
        <w:pStyle w:val="11"/>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rPr>
          <w:trHeight w:val="1883" w:hRule="atLeast"/>
          <w:jc w:val="center"/>
        </w:trPr>
        <w:tc>
          <w:tcPr>
            <w:tcW w:w="2913" w:type="dxa"/>
            <w:gridSpan w:val="2"/>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1</w:t>
            </w:r>
            <w:r>
              <w:rPr>
                <w:rFonts w:hint="eastAsia" w:ascii="仿宋_GB2312" w:hAnsi="仿宋_GB2312" w:eastAsia="仿宋_GB2312" w:cs="仿宋_GB2312"/>
                <w:sz w:val="32"/>
                <w:szCs w:val="32"/>
                <w:u w:val="single"/>
                <w:lang w:val="zh-CN"/>
              </w:rPr>
              <w:t>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获奖部分：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u w:val="single"/>
                <w:lang w:val="zh-CN" w:eastAsia="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30</w:t>
            </w:r>
            <w:r>
              <w:rPr>
                <w:rFonts w:hint="eastAsia" w:ascii="仿宋_GB2312" w:hAnsi="仿宋_GB2312" w:eastAsia="仿宋_GB2312" w:cs="仿宋_GB2312"/>
                <w:sz w:val="32"/>
                <w:szCs w:val="32"/>
                <w:u w:val="single"/>
                <w:lang w:val="zh-CN" w:eastAsia="zh-CN"/>
              </w:rPr>
              <w:t xml:space="preserve"> 分</w:t>
            </w:r>
          </w:p>
        </w:tc>
      </w:tr>
      <w:tr>
        <w:trPr>
          <w:trHeight w:val="726" w:hRule="atLeast"/>
          <w:jc w:val="center"/>
        </w:trPr>
        <w:tc>
          <w:tcPr>
            <w:tcW w:w="1508"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rPr>
          <w:trHeight w:val="1999"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投标报价得分=（基准价/</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val="zh-CN"/>
              </w:rPr>
              <w:t>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0分。</w:t>
            </w:r>
          </w:p>
        </w:tc>
      </w:tr>
      <w:tr>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自2020年1月1日以来，具有类似长输热水管网工程设计业绩（供热主管道管径不低于DN1000且长度不低于40km，不含城区管网），须提供合同等证明文件（包括合同封面、采购范围页、签字盖章页等扫描件），日期以合同签订日期为准。</w:t>
            </w:r>
          </w:p>
        </w:tc>
      </w:tr>
      <w:tr>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获奖荣誉</w:t>
            </w:r>
          </w:p>
          <w:p>
            <w:pPr>
              <w:adjustRightInd w:val="0"/>
              <w:snapToGrid w:val="0"/>
              <w:spacing w:line="276"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获奖</w:t>
            </w:r>
          </w:p>
          <w:p>
            <w:pPr>
              <w:adjustRightInd w:val="0"/>
              <w:snapToGrid w:val="0"/>
              <w:spacing w:line="276"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自2020年1月1日以来，获得过省级及以上建设主管部门或行业协会颁发的有关供热管网工程设计的获奖证书，一等奖得4分，二等奖得2分，三等奖得1分，本项最高得30分。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注：提供建设主管部门或协会公布获奖项目通知的盖章红头文件的扫描件及证书的原件扫描件（或图片），时间以证书日期为准。</w:t>
            </w:r>
          </w:p>
        </w:tc>
      </w:tr>
      <w:tr>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服务方案（30分）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pPr>
              <w:widowControl/>
              <w:numPr>
                <w:numId w:val="0"/>
              </w:numPr>
              <w:adjustRightInd w:val="0"/>
              <w:snapToGrid w:val="0"/>
              <w:spacing w:line="276"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1.无方案：0分；</w:t>
            </w:r>
          </w:p>
          <w:p>
            <w:pPr>
              <w:widowControl/>
              <w:numPr>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2.方案一般：1-15分；</w:t>
            </w:r>
          </w:p>
          <w:p>
            <w:pPr>
              <w:widowControl/>
              <w:numPr>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3.方案较合理可行：16-30分。</w:t>
            </w:r>
          </w:p>
        </w:tc>
      </w:tr>
    </w:tbl>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评审得分相同且报价相同的，以获奖荣誉部分等技术指标得分较高者为中标候选人。</w:t>
      </w:r>
    </w:p>
    <w:p>
      <w:pPr>
        <w:widowControl w:val="0"/>
        <w:wordWrap/>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4"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Times New Roman" w:hAnsi="Times New Roman" w:eastAsia="宋体" w:cs="Times New Roman"/>
        <w:kern w:val="2"/>
        <w:sz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
    <w:nsid w:val="00000008"/>
    <w:multiLevelType w:val="multilevel"/>
    <w:tmpl w:val="00000008"/>
    <w:lvl w:ilvl="0" w:tentative="1">
      <w:start w:val="1"/>
      <w:numFmt w:val="chineseCounting"/>
      <w:pStyle w:val="2"/>
      <w:suff w:val="nothing"/>
      <w:lvlText w:val="第%1章 "/>
      <w:lvlJc w:val="left"/>
      <w:pPr>
        <w:ind w:left="432" w:hanging="432"/>
      </w:pPr>
      <w:rPr>
        <w:rFonts w:hint="eastAsia"/>
      </w:rPr>
    </w:lvl>
    <w:lvl w:ilvl="1" w:tentative="1">
      <w:start w:val="1"/>
      <w:numFmt w:val="decimal"/>
      <w:isLgl/>
      <w:lvlText w:val="%1.%2."/>
      <w:lvlJc w:val="left"/>
      <w:pPr>
        <w:ind w:left="575" w:hanging="575"/>
      </w:pPr>
      <w:rPr>
        <w:rFonts w:hint="eastAsia"/>
      </w:rPr>
    </w:lvl>
    <w:lvl w:ilvl="2" w:tentative="1">
      <w:start w:val="1"/>
      <w:numFmt w:val="decimal"/>
      <w:isLgl/>
      <w:lvlText w:val="%1.%2.%3."/>
      <w:lvlJc w:val="left"/>
      <w:pPr>
        <w:ind w:left="720" w:hanging="720"/>
      </w:pPr>
      <w:rPr>
        <w:rFonts w:hint="eastAsia"/>
      </w:rPr>
    </w:lvl>
    <w:lvl w:ilvl="3" w:tentative="1">
      <w:start w:val="1"/>
      <w:numFmt w:val="decimal"/>
      <w:isLgl/>
      <w:lvlText w:val="%1.%2.%3.%4."/>
      <w:lvlJc w:val="left"/>
      <w:pPr>
        <w:ind w:left="864" w:hanging="864"/>
      </w:pPr>
      <w:rPr>
        <w:rFonts w:hint="eastAsia"/>
      </w:rPr>
    </w:lvl>
    <w:lvl w:ilvl="4" w:tentative="1">
      <w:start w:val="1"/>
      <w:numFmt w:val="decimal"/>
      <w:isLgl/>
      <w:lvlText w:val="%1.%2.%3.%4.%5."/>
      <w:lvlJc w:val="left"/>
      <w:pPr>
        <w:ind w:left="1008" w:hanging="1008"/>
      </w:pPr>
      <w:rPr>
        <w:rFonts w:hint="eastAsia"/>
      </w:rPr>
    </w:lvl>
    <w:lvl w:ilvl="5" w:tentative="1">
      <w:start w:val="1"/>
      <w:numFmt w:val="decimal"/>
      <w:isLgl/>
      <w:lvlText w:val="%1.%2.%3.%4.%5.%6."/>
      <w:lvlJc w:val="left"/>
      <w:pPr>
        <w:ind w:left="1151" w:hanging="1151"/>
      </w:pPr>
      <w:rPr>
        <w:rFonts w:hint="eastAsia"/>
      </w:rPr>
    </w:lvl>
    <w:lvl w:ilvl="6" w:tentative="1">
      <w:start w:val="1"/>
      <w:numFmt w:val="decimal"/>
      <w:isLgl/>
      <w:lvlText w:val="%1.%2.%3.%4.%5.%6.%7."/>
      <w:lvlJc w:val="left"/>
      <w:pPr>
        <w:ind w:left="1296" w:hanging="1296"/>
      </w:pPr>
      <w:rPr>
        <w:rFonts w:hint="eastAsia"/>
      </w:rPr>
    </w:lvl>
    <w:lvl w:ilvl="7" w:tentative="1">
      <w:start w:val="1"/>
      <w:numFmt w:val="decimal"/>
      <w:isLgl/>
      <w:lvlText w:val="%1.%2.%3.%4.%5.%6.%7.%8."/>
      <w:lvlJc w:val="left"/>
      <w:pPr>
        <w:ind w:left="1440" w:hanging="1440"/>
      </w:pPr>
      <w:rPr>
        <w:rFonts w:hint="eastAsia"/>
      </w:rPr>
    </w:lvl>
    <w:lvl w:ilvl="8" w:tentative="1">
      <w:start w:val="1"/>
      <w:numFmt w:val="decimal"/>
      <w:isLgl/>
      <w:lvlText w:val="%1.%2.%3.%4.%5.%6.%7.%8.%9."/>
      <w:lvlJc w:val="left"/>
      <w:pPr>
        <w:ind w:left="1583" w:hanging="1583"/>
      </w:pPr>
      <w:rPr>
        <w:rFonts w:hint="eastAsia"/>
      </w:rPr>
    </w:lvl>
  </w:abstractNum>
  <w:num w:numId="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pPr>
      <w:keepNext/>
      <w:keepLines/>
      <w:numPr>
        <w:ilvl w:val="0"/>
        <w:numId w:val="1"/>
      </w:numPr>
      <w:spacing w:before="100" w:after="100" w:line="240" w:lineRule="atLeast"/>
      <w:jc w:val="center"/>
      <w:outlineLvl w:val="0"/>
    </w:pPr>
    <w:rPr>
      <w:rFonts w:ascii="Times New Roman" w:hAnsi="Times New Roman"/>
      <w:b/>
      <w:bCs/>
      <w:kern w:val="44"/>
      <w:sz w:val="36"/>
      <w:szCs w:val="44"/>
    </w:rPr>
  </w:style>
  <w:style w:type="paragraph" w:styleId="3">
    <w:name w:val="heading 2"/>
    <w:basedOn w:val="1"/>
    <w:next w:val="1"/>
    <w:pPr>
      <w:keepNext/>
      <w:keepLines/>
      <w:spacing w:before="100" w:beforeAutospacing="0" w:after="100" w:afterAutospacing="0" w:line="240" w:lineRule="auto"/>
      <w:ind w:firstLine="0" w:firstLineChars="0"/>
      <w:outlineLvl w:val="1"/>
    </w:pPr>
    <w:rPr>
      <w:b/>
      <w:sz w:val="32"/>
    </w:rPr>
  </w:style>
  <w:style w:type="character" w:default="1" w:styleId="9">
    <w:name w:val="Default Paragraph Font"/>
  </w:style>
  <w:style w:type="paragraph" w:styleId="4">
    <w:name w:val="Body Text"/>
    <w:basedOn w:val="1"/>
    <w:next w:val="5"/>
    <w:pPr>
      <w:jc w:val="center"/>
    </w:pPr>
    <w:rPr>
      <w:rFonts w:ascii="Times New Roman" w:hAnsi="Times New Roman" w:eastAsia="黑体" w:cs="Times New Roman"/>
      <w:sz w:val="36"/>
      <w:szCs w:val="20"/>
    </w:rPr>
  </w:style>
  <w:style w:type="paragraph" w:customStyle="1" w:styleId="5">
    <w:name w:val="Body Text First Indent"/>
    <w:basedOn w:val="4"/>
    <w:next w:val="6"/>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pPr>
      <w:widowControl w:val="0"/>
      <w:spacing w:before="0" w:after="0" w:line="240" w:lineRule="auto"/>
      <w:ind w:left="420" w:firstLine="3748"/>
      <w:jc w:val="both"/>
    </w:pPr>
  </w:style>
  <w:style w:type="paragraph" w:styleId="7">
    <w:name w:val="footer"/>
    <w:basedOn w:val="1"/>
    <w:pPr>
      <w:tabs>
        <w:tab w:val="center" w:pos="4153"/>
        <w:tab w:val="right" w:pos="8306"/>
      </w:tabs>
      <w:snapToGrid w:val="0"/>
      <w:jc w:val="left"/>
    </w:pPr>
    <w:rPr>
      <w:sz w:val="18"/>
    </w:rPr>
  </w:style>
  <w:style w:type="paragraph" w:styleId="8">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rPr>
      <w:color w:val="0000FF"/>
      <w:u w:val="single"/>
    </w:rPr>
  </w:style>
  <w:style w:type="paragraph" w:customStyle="1" w:styleId="11">
    <w:name w:val="Plain Text"/>
    <w:basedOn w:val="1"/>
    <w:rPr>
      <w:sz w:val="24"/>
    </w:rPr>
  </w:style>
  <w:style w:type="paragraph" w:customStyle="1" w:styleId="12">
    <w:name w:val="Normal (Web)"/>
    <w:basedOn w:val="1"/>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Printed>2023-12-29T08:59:00Z</cp:lastPrinted>
  <dcterms:modified xsi:type="dcterms:W3CDTF">2023-12-29T14:54:16Z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