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line="560" w:lineRule="exact"/>
        <w:rPr>
          <w:rFonts w:ascii="黑体" w:hAnsi="黑体" w:eastAsia="黑体" w:cs="仿宋"/>
          <w:sz w:val="32"/>
          <w:szCs w:val="32"/>
        </w:rPr>
      </w:pPr>
      <w:bookmarkStart w:id="0" w:name="_GoBack"/>
      <w:bookmarkEnd w:id="0"/>
      <w:r>
        <w:rPr>
          <w:rFonts w:hint="eastAsia" w:ascii="黑体" w:hAnsi="黑体" w:eastAsia="黑体" w:cs="仿宋"/>
          <w:sz w:val="32"/>
          <w:szCs w:val="32"/>
        </w:rPr>
        <w:t>附件1</w:t>
      </w:r>
    </w:p>
    <w:p>
      <w:pPr>
        <w:spacing w:line="560" w:lineRule="exact"/>
        <w:jc w:val="center"/>
        <w:rPr>
          <w:rFonts w:ascii="仿宋_GB2312" w:hAnsi="仿宋" w:eastAsia="仿宋_GB2312" w:cs="仿宋"/>
          <w:b/>
          <w:sz w:val="36"/>
          <w:szCs w:val="36"/>
        </w:rPr>
      </w:pPr>
      <w:r>
        <w:rPr>
          <w:rFonts w:hint="eastAsia" w:ascii="仿宋_GB2312" w:hAnsi="仿宋" w:eastAsia="仿宋_GB2312" w:cs="仿宋"/>
          <w:b/>
          <w:sz w:val="36"/>
          <w:szCs w:val="36"/>
        </w:rPr>
        <w:t>报价单</w:t>
      </w:r>
    </w:p>
    <w:tbl>
      <w:tblPr>
        <w:tblW w:w="852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668"/>
        <w:gridCol w:w="1275"/>
        <w:gridCol w:w="5579"/>
      </w:tblGrid>
      <w:tr>
        <w:trPr>
          <w:trHeight w:val="1220" w:hRule="atLeast"/>
        </w:trPr>
        <w:tc>
          <w:tcPr>
            <w:tcW w:w="1668" w:type="dxa"/>
            <w:vAlign w:val="center"/>
          </w:tcPr>
          <w:p>
            <w:pPr>
              <w:spacing w:line="440" w:lineRule="exact"/>
              <w:jc w:val="center"/>
              <w:rPr>
                <w:rFonts w:ascii="宋体" w:hAnsi="宋体"/>
                <w:szCs w:val="21"/>
              </w:rPr>
            </w:pPr>
            <w:r>
              <w:rPr>
                <w:rFonts w:hint="eastAsia" w:ascii="宋体" w:hAnsi="宋体"/>
                <w:sz w:val="28"/>
                <w:szCs w:val="28"/>
              </w:rPr>
              <w:t>项目名称</w:t>
            </w:r>
          </w:p>
        </w:tc>
        <w:tc>
          <w:tcPr>
            <w:tcW w:w="6854" w:type="dxa"/>
            <w:gridSpan w:val="2"/>
            <w:vAlign w:val="center"/>
          </w:tcPr>
          <w:p>
            <w:pPr>
              <w:spacing w:line="560" w:lineRule="exact"/>
              <w:rPr>
                <w:rFonts w:ascii="仿宋_GB2312" w:hAnsi="仿宋_GB2312" w:eastAsia="仿宋_GB2312" w:cs="仿宋_GB2312"/>
                <w:b/>
                <w:sz w:val="32"/>
                <w:szCs w:val="32"/>
              </w:rPr>
            </w:pPr>
            <w:r>
              <w:rPr>
                <w:rFonts w:hint="eastAsia" w:ascii="仿宋_GB2312" w:hAnsi="仿宋_GB2312" w:eastAsia="仿宋_GB2312" w:cs="仿宋_GB2312"/>
                <w:sz w:val="32"/>
                <w:szCs w:val="32"/>
              </w:rPr>
              <w:t>许昌市东城区空港新城20号楼顶面、东侧面（三</w:t>
            </w:r>
            <w:r>
              <w:rPr>
                <w:rFonts w:hint="eastAsia" w:ascii="仿宋_GB2312" w:hAnsi="仿宋_GB2312" w:eastAsia="仿宋_GB2312" w:cs="仿宋_GB2312"/>
                <w:sz w:val="32"/>
                <w:szCs w:val="32"/>
                <w:lang w:eastAsia="zh-CN"/>
              </w:rPr>
              <w:t>面</w:t>
            </w:r>
            <w:r>
              <w:rPr>
                <w:rFonts w:hint="eastAsia" w:ascii="仿宋_GB2312" w:hAnsi="仿宋_GB2312" w:eastAsia="仿宋_GB2312" w:cs="仿宋_GB2312"/>
                <w:sz w:val="32"/>
                <w:szCs w:val="32"/>
              </w:rPr>
              <w:t>墙体</w:t>
            </w:r>
            <w:r>
              <w:rPr>
                <w:rFonts w:ascii="仿宋_GB2312" w:hAnsi="仿宋_GB2312" w:eastAsia="仿宋_GB2312" w:cs="仿宋_GB2312"/>
                <w:sz w:val="32"/>
                <w:szCs w:val="32"/>
              </w:rPr>
              <w:t>）防水处理</w:t>
            </w:r>
            <w:r>
              <w:rPr>
                <w:rFonts w:hint="eastAsia" w:ascii="仿宋_GB2312" w:hAnsi="仿宋_GB2312" w:eastAsia="仿宋_GB2312" w:cs="仿宋_GB2312"/>
                <w:sz w:val="32"/>
                <w:szCs w:val="32"/>
              </w:rPr>
              <w:t>等</w:t>
            </w:r>
            <w:r>
              <w:rPr>
                <w:rFonts w:ascii="仿宋_GB2312" w:hAnsi="仿宋_GB2312" w:eastAsia="仿宋_GB2312" w:cs="仿宋_GB2312"/>
                <w:sz w:val="32"/>
                <w:szCs w:val="32"/>
              </w:rPr>
              <w:t>服务</w:t>
            </w:r>
            <w:r>
              <w:rPr>
                <w:rFonts w:hint="eastAsia" w:ascii="仿宋_GB2312" w:hAnsi="仿宋_GB2312" w:eastAsia="仿宋_GB2312" w:cs="仿宋_GB2312"/>
                <w:sz w:val="32"/>
                <w:szCs w:val="32"/>
              </w:rPr>
              <w:t>项目</w:t>
            </w:r>
          </w:p>
        </w:tc>
      </w:tr>
      <w:tr>
        <w:trPr>
          <w:trHeight w:val="1197" w:hRule="atLeast"/>
        </w:trPr>
        <w:tc>
          <w:tcPr>
            <w:tcW w:w="1668" w:type="dxa"/>
            <w:vAlign w:val="center"/>
          </w:tcPr>
          <w:p>
            <w:pPr>
              <w:spacing w:line="440" w:lineRule="exact"/>
              <w:jc w:val="center"/>
              <w:rPr>
                <w:rFonts w:hint="eastAsia" w:ascii="宋体" w:hAnsi="宋体" w:eastAsia="宋体"/>
                <w:szCs w:val="21"/>
                <w:lang w:eastAsia="zh-CN"/>
              </w:rPr>
            </w:pPr>
            <w:r>
              <w:rPr>
                <w:rFonts w:hint="eastAsia" w:ascii="宋体" w:hAnsi="宋体"/>
                <w:sz w:val="28"/>
                <w:szCs w:val="28"/>
              </w:rPr>
              <w:t>申请人名称</w:t>
            </w:r>
            <w:r>
              <w:rPr>
                <w:rFonts w:hint="eastAsia" w:ascii="宋体" w:hAnsi="宋体"/>
                <w:sz w:val="28"/>
                <w:szCs w:val="28"/>
                <w:lang w:eastAsia="zh-CN"/>
              </w:rPr>
              <w:t>及联系方式</w:t>
            </w:r>
          </w:p>
        </w:tc>
        <w:tc>
          <w:tcPr>
            <w:tcW w:w="6854" w:type="dxa"/>
            <w:gridSpan w:val="2"/>
            <w:vAlign w:val="center"/>
          </w:tcPr>
          <w:p>
            <w:pPr>
              <w:spacing w:line="440" w:lineRule="exact"/>
              <w:jc w:val="center"/>
              <w:rPr>
                <w:rFonts w:ascii="宋体" w:hAnsi="宋体"/>
                <w:szCs w:val="21"/>
              </w:rPr>
            </w:pPr>
          </w:p>
        </w:tc>
      </w:tr>
      <w:tr>
        <w:trPr>
          <w:trHeight w:val="4027" w:hRule="atLeast"/>
        </w:trPr>
        <w:tc>
          <w:tcPr>
            <w:tcW w:w="2943" w:type="dxa"/>
            <w:gridSpan w:val="2"/>
            <w:vAlign w:val="center"/>
          </w:tcPr>
          <w:p>
            <w:pPr>
              <w:spacing w:line="440" w:lineRule="exact"/>
              <w:jc w:val="center"/>
              <w:rPr>
                <w:rFonts w:ascii="宋体" w:hAnsi="宋体"/>
                <w:szCs w:val="21"/>
              </w:rPr>
            </w:pPr>
            <w:r>
              <w:rPr>
                <w:rFonts w:hint="eastAsia" w:ascii="宋体" w:hAnsi="宋体"/>
                <w:sz w:val="28"/>
                <w:szCs w:val="28"/>
              </w:rPr>
              <w:t>采购范围</w:t>
            </w:r>
          </w:p>
        </w:tc>
        <w:tc>
          <w:tcPr>
            <w:tcW w:w="5579" w:type="dxa"/>
            <w:vAlign w:val="center"/>
          </w:tcPr>
          <w:p>
            <w:pPr>
              <w:spacing w:line="560" w:lineRule="exact"/>
              <w:rPr>
                <w:rFonts w:ascii="仿宋" w:hAnsi="仿宋" w:eastAsia="仿宋_GB2312"/>
                <w:sz w:val="28"/>
                <w:szCs w:val="28"/>
              </w:rPr>
            </w:pPr>
            <w:r>
              <w:rPr>
                <w:rFonts w:hint="eastAsia" w:ascii="仿宋_GB2312" w:hAnsi="仿宋_GB2312" w:eastAsia="仿宋_GB2312" w:cs="仿宋_GB2312"/>
                <w:sz w:val="32"/>
                <w:szCs w:val="32"/>
              </w:rPr>
              <w:t>许昌市东城区空港新城20号楼顶面、东侧面（三</w:t>
            </w:r>
            <w:r>
              <w:rPr>
                <w:rFonts w:hint="eastAsia" w:ascii="仿宋_GB2312" w:hAnsi="仿宋_GB2312" w:eastAsia="仿宋_GB2312" w:cs="仿宋_GB2312"/>
                <w:sz w:val="32"/>
                <w:szCs w:val="32"/>
                <w:lang w:eastAsia="zh-CN"/>
              </w:rPr>
              <w:t>面</w:t>
            </w:r>
            <w:r>
              <w:rPr>
                <w:rFonts w:hint="eastAsia" w:ascii="仿宋_GB2312" w:hAnsi="仿宋_GB2312" w:eastAsia="仿宋_GB2312" w:cs="仿宋_GB2312"/>
                <w:sz w:val="32"/>
                <w:szCs w:val="32"/>
              </w:rPr>
              <w:t>墙体</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防水施工。</w:t>
            </w:r>
          </w:p>
        </w:tc>
      </w:tr>
      <w:tr>
        <w:trPr>
          <w:trHeight w:val="4441" w:hRule="atLeast"/>
        </w:trPr>
        <w:tc>
          <w:tcPr>
            <w:tcW w:w="2943" w:type="dxa"/>
            <w:gridSpan w:val="2"/>
            <w:vAlign w:val="center"/>
          </w:tcPr>
          <w:p>
            <w:pPr>
              <w:spacing w:line="440" w:lineRule="exact"/>
              <w:jc w:val="center"/>
              <w:rPr>
                <w:rFonts w:ascii="宋体" w:hAnsi="宋体"/>
                <w:szCs w:val="21"/>
              </w:rPr>
            </w:pPr>
            <w:r>
              <w:rPr>
                <w:rFonts w:hint="eastAsia" w:ascii="宋体" w:hAnsi="宋体"/>
                <w:sz w:val="28"/>
                <w:szCs w:val="28"/>
              </w:rPr>
              <w:t>报价</w:t>
            </w:r>
          </w:p>
        </w:tc>
        <w:tc>
          <w:tcPr>
            <w:tcW w:w="5579" w:type="dxa"/>
            <w:vAlign w:val="top"/>
          </w:tcPr>
          <w:p>
            <w:pPr>
              <w:rPr>
                <w:rFonts w:ascii="仿宋" w:hAnsi="仿宋" w:eastAsia="仿宋" w:cs="仿宋"/>
                <w:b/>
                <w:sz w:val="28"/>
                <w:szCs w:val="28"/>
              </w:rPr>
            </w:pPr>
          </w:p>
          <w:p>
            <w:pPr>
              <w:snapToGrid w:val="0"/>
              <w:ind w:firstLine="480" w:firstLineChars="200"/>
              <w:rPr>
                <w:rFonts w:ascii="仿宋" w:hAnsi="仿宋" w:eastAsia="仿宋" w:cs="仿宋"/>
                <w:sz w:val="24"/>
              </w:rPr>
            </w:pPr>
          </w:p>
        </w:tc>
      </w:tr>
    </w:tbl>
    <w:p>
      <w:pPr>
        <w:widowControl/>
        <w:jc w:val="left"/>
        <w:rPr>
          <w:rFonts w:ascii="宋体" w:hAnsi="宋体"/>
          <w:b/>
          <w:color w:val="000000"/>
          <w:kern w:val="0"/>
          <w:sz w:val="28"/>
          <w:szCs w:val="28"/>
        </w:rPr>
      </w:pPr>
    </w:p>
    <w:p>
      <w:pPr>
        <w:spacing w:line="560" w:lineRule="exact"/>
        <w:jc w:val="center"/>
        <w:rPr>
          <w:rFonts w:ascii="方正小标宋简体" w:hAnsi="仿宋_GB2312" w:eastAsia="方正小标宋简体" w:cs="仿宋_GB2312"/>
          <w:sz w:val="44"/>
          <w:szCs w:val="44"/>
        </w:rPr>
      </w:pPr>
    </w:p>
    <w:p>
      <w:pPr>
        <w:spacing w:line="560" w:lineRule="exact"/>
        <w:jc w:val="center"/>
        <w:rPr>
          <w:rFonts w:ascii="方正小标宋简体" w:hAnsi="仿宋_GB2312" w:eastAsia="方正小标宋简体" w:cs="仿宋_GB2312"/>
          <w:sz w:val="44"/>
          <w:szCs w:val="44"/>
        </w:rPr>
      </w:pPr>
    </w:p>
    <w:p>
      <w:pPr>
        <w:spacing w:line="560" w:lineRule="exact"/>
        <w:rPr>
          <w:rFonts w:ascii="黑体" w:hAnsi="黑体" w:eastAsia="黑体" w:cs="黑体"/>
          <w:sz w:val="32"/>
          <w:szCs w:val="32"/>
        </w:rPr>
      </w:pPr>
      <w:r>
        <w:rPr>
          <w:rFonts w:hint="eastAsia" w:ascii="黑体" w:hAnsi="黑体" w:eastAsia="黑体" w:cs="黑体"/>
          <w:sz w:val="32"/>
          <w:szCs w:val="32"/>
        </w:rPr>
        <w:t>附件2</w:t>
      </w:r>
    </w:p>
    <w:p>
      <w:pPr>
        <w:spacing w:line="560" w:lineRule="exact"/>
        <w:jc w:val="center"/>
        <w:rPr>
          <w:rFonts w:hint="eastAsia" w:eastAsia="方正小标宋简体"/>
          <w:lang w:val="en-US" w:eastAsia="zh-CN"/>
        </w:rPr>
      </w:pPr>
      <w:r>
        <w:rPr>
          <w:rFonts w:hint="eastAsia" w:ascii="方正小标宋简体" w:hAnsi="仿宋_GB2312" w:eastAsia="方正小标宋简体" w:cs="仿宋_GB2312"/>
          <w:sz w:val="44"/>
          <w:szCs w:val="44"/>
        </w:rPr>
        <w:t>评分</w:t>
      </w:r>
      <w:r>
        <w:rPr>
          <w:rFonts w:hint="eastAsia" w:ascii="方正小标宋简体" w:hAnsi="仿宋_GB2312" w:eastAsia="方正小标宋简体" w:cs="仿宋_GB2312"/>
          <w:sz w:val="44"/>
          <w:szCs w:val="44"/>
          <w:lang w:eastAsia="zh-CN"/>
        </w:rPr>
        <w:t>细则</w:t>
      </w:r>
    </w:p>
    <w:tbl>
      <w:tblPr>
        <w:tblpPr w:leftFromText="180" w:rightFromText="180" w:vertAnchor="text" w:horzAnchor="page" w:tblpX="1395" w:tblpY="382"/>
        <w:tblOverlap w:val="never"/>
        <w:tblW w:w="946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180"/>
        <w:gridCol w:w="1560"/>
        <w:gridCol w:w="6725"/>
      </w:tblGrid>
      <w:tr>
        <w:trPr>
          <w:trHeight w:val="824" w:hRule="atLeast"/>
        </w:trPr>
        <w:tc>
          <w:tcPr>
            <w:tcW w:w="2740"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szCs w:val="21"/>
              </w:rPr>
            </w:pPr>
            <w:r>
              <w:rPr>
                <w:rFonts w:hint="eastAsia" w:ascii="宋体" w:hAnsi="宋体"/>
                <w:color w:val="000000"/>
                <w:kern w:val="0"/>
                <w:szCs w:val="21"/>
              </w:rPr>
              <w:t>分值构成</w:t>
            </w:r>
          </w:p>
          <w:p>
            <w:pPr>
              <w:widowControl/>
              <w:jc w:val="center"/>
              <w:rPr>
                <w:rFonts w:ascii="宋体" w:hAnsi="宋体"/>
                <w:szCs w:val="21"/>
              </w:rPr>
            </w:pPr>
            <w:r>
              <w:rPr>
                <w:rFonts w:hint="eastAsia" w:ascii="宋体" w:hAnsi="宋体"/>
                <w:color w:val="000000"/>
                <w:kern w:val="0"/>
                <w:szCs w:val="21"/>
              </w:rPr>
              <w:t>（总分100分）</w:t>
            </w:r>
          </w:p>
        </w:tc>
        <w:tc>
          <w:tcPr>
            <w:tcW w:w="6725" w:type="dxa"/>
            <w:tcBorders>
              <w:top w:val="single" w:color="auto" w:sz="4" w:space="0"/>
              <w:left w:val="nil"/>
              <w:bottom w:val="single" w:color="auto" w:sz="4" w:space="0"/>
              <w:right w:val="single" w:color="auto" w:sz="4" w:space="0"/>
            </w:tcBorders>
            <w:vAlign w:val="center"/>
          </w:tcPr>
          <w:p>
            <w:pPr>
              <w:widowControl/>
              <w:jc w:val="left"/>
              <w:rPr>
                <w:rFonts w:ascii="宋体" w:hAnsi="宋体"/>
                <w:color w:val="000000"/>
                <w:kern w:val="0"/>
                <w:szCs w:val="21"/>
              </w:rPr>
            </w:pPr>
            <w:r>
              <w:rPr>
                <w:rFonts w:hint="eastAsia" w:ascii="宋体" w:hAnsi="宋体"/>
                <w:color w:val="000000"/>
                <w:kern w:val="0"/>
                <w:szCs w:val="21"/>
              </w:rPr>
              <w:t>价格分值：</w:t>
            </w:r>
            <w:r>
              <w:rPr>
                <w:rFonts w:ascii="宋体" w:hAnsi="宋体"/>
                <w:color w:val="000000"/>
                <w:kern w:val="0"/>
                <w:szCs w:val="21"/>
              </w:rPr>
              <w:t>30</w:t>
            </w:r>
            <w:r>
              <w:rPr>
                <w:rFonts w:hint="eastAsia" w:ascii="宋体" w:hAnsi="宋体"/>
                <w:color w:val="000000"/>
                <w:kern w:val="0"/>
                <w:szCs w:val="21"/>
              </w:rPr>
              <w:t>分；商务部分：30分；</w:t>
            </w:r>
          </w:p>
          <w:p>
            <w:pPr>
              <w:widowControl/>
              <w:jc w:val="left"/>
              <w:rPr>
                <w:rFonts w:ascii="宋体" w:hAnsi="宋体"/>
                <w:szCs w:val="21"/>
              </w:rPr>
            </w:pPr>
            <w:r>
              <w:rPr>
                <w:rFonts w:hint="eastAsia" w:ascii="宋体" w:hAnsi="宋体"/>
                <w:color w:val="000000"/>
                <w:kern w:val="0"/>
                <w:szCs w:val="21"/>
              </w:rPr>
              <w:t>技术部分：4</w:t>
            </w:r>
            <w:r>
              <w:rPr>
                <w:rFonts w:ascii="宋体" w:hAnsi="宋体"/>
                <w:color w:val="000000"/>
                <w:kern w:val="0"/>
                <w:szCs w:val="21"/>
              </w:rPr>
              <w:t>0</w:t>
            </w:r>
            <w:r>
              <w:rPr>
                <w:rFonts w:hint="eastAsia" w:ascii="宋体" w:hAnsi="宋体"/>
                <w:color w:val="000000"/>
                <w:kern w:val="0"/>
                <w:szCs w:val="21"/>
              </w:rPr>
              <w:t>分；</w:t>
            </w:r>
          </w:p>
        </w:tc>
      </w:tr>
      <w:tr>
        <w:trPr>
          <w:trHeight w:val="565" w:hRule="atLeast"/>
        </w:trPr>
        <w:tc>
          <w:tcPr>
            <w:tcW w:w="118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szCs w:val="21"/>
              </w:rPr>
            </w:pPr>
            <w:r>
              <w:rPr>
                <w:rFonts w:hint="eastAsia" w:ascii="宋体" w:hAnsi="宋体"/>
                <w:b/>
                <w:color w:val="000000"/>
                <w:kern w:val="0"/>
                <w:szCs w:val="21"/>
              </w:rPr>
              <w:t>评审项</w:t>
            </w:r>
          </w:p>
        </w:tc>
        <w:tc>
          <w:tcPr>
            <w:tcW w:w="1560" w:type="dxa"/>
            <w:tcBorders>
              <w:top w:val="single" w:color="auto" w:sz="4" w:space="0"/>
              <w:left w:val="nil"/>
              <w:bottom w:val="single" w:color="auto" w:sz="4" w:space="0"/>
              <w:right w:val="single" w:color="auto" w:sz="4" w:space="0"/>
            </w:tcBorders>
            <w:vAlign w:val="center"/>
          </w:tcPr>
          <w:p>
            <w:pPr>
              <w:widowControl/>
              <w:jc w:val="center"/>
              <w:rPr>
                <w:rFonts w:ascii="宋体" w:hAnsi="宋体"/>
                <w:szCs w:val="21"/>
              </w:rPr>
            </w:pPr>
            <w:r>
              <w:rPr>
                <w:rFonts w:hint="eastAsia" w:ascii="宋体" w:hAnsi="宋体"/>
                <w:b/>
                <w:color w:val="000000"/>
                <w:kern w:val="0"/>
                <w:szCs w:val="21"/>
              </w:rPr>
              <w:t>评分因素</w:t>
            </w:r>
          </w:p>
        </w:tc>
        <w:tc>
          <w:tcPr>
            <w:tcW w:w="6725" w:type="dxa"/>
            <w:tcBorders>
              <w:top w:val="single" w:color="auto" w:sz="4" w:space="0"/>
              <w:left w:val="nil"/>
              <w:bottom w:val="single" w:color="auto" w:sz="4" w:space="0"/>
              <w:right w:val="single" w:color="auto" w:sz="4" w:space="0"/>
            </w:tcBorders>
            <w:vAlign w:val="center"/>
          </w:tcPr>
          <w:p>
            <w:pPr>
              <w:widowControl/>
              <w:jc w:val="center"/>
              <w:rPr>
                <w:rFonts w:ascii="宋体" w:hAnsi="宋体"/>
                <w:szCs w:val="21"/>
              </w:rPr>
            </w:pPr>
            <w:r>
              <w:rPr>
                <w:rFonts w:hint="eastAsia" w:ascii="宋体" w:hAnsi="宋体"/>
                <w:b/>
                <w:color w:val="000000"/>
                <w:kern w:val="0"/>
                <w:szCs w:val="21"/>
              </w:rPr>
              <w:t>评标标准</w:t>
            </w:r>
          </w:p>
        </w:tc>
      </w:tr>
      <w:tr>
        <w:trPr>
          <w:trHeight w:val="1106" w:hRule="atLeast"/>
        </w:trPr>
        <w:tc>
          <w:tcPr>
            <w:tcW w:w="1180" w:type="dxa"/>
            <w:tcBorders>
              <w:top w:val="single" w:color="auto" w:sz="4" w:space="0"/>
              <w:left w:val="single" w:color="auto" w:sz="4" w:space="0"/>
              <w:bottom w:val="single" w:color="auto" w:sz="4" w:space="0"/>
              <w:right w:val="single" w:color="auto" w:sz="4" w:space="0"/>
            </w:tcBorders>
            <w:vAlign w:val="center"/>
          </w:tcPr>
          <w:p>
            <w:pPr>
              <w:widowControl/>
              <w:ind w:leftChars="-2" w:hanging="4" w:hangingChars="2"/>
              <w:jc w:val="center"/>
              <w:rPr>
                <w:rFonts w:ascii="宋体" w:hAnsi="宋体"/>
                <w:szCs w:val="21"/>
              </w:rPr>
            </w:pPr>
            <w:r>
              <w:rPr>
                <w:rFonts w:hint="eastAsia" w:ascii="宋体" w:hAnsi="宋体"/>
                <w:color w:val="000000"/>
                <w:kern w:val="0"/>
                <w:szCs w:val="21"/>
              </w:rPr>
              <w:t>报价部分</w:t>
            </w:r>
          </w:p>
          <w:p>
            <w:pPr>
              <w:widowControl/>
              <w:ind w:leftChars="-2" w:hanging="4" w:hangingChars="2"/>
              <w:jc w:val="center"/>
              <w:rPr>
                <w:rFonts w:ascii="宋体" w:hAnsi="宋体"/>
                <w:szCs w:val="21"/>
              </w:rPr>
            </w:pPr>
            <w:r>
              <w:rPr>
                <w:rFonts w:hint="eastAsia" w:ascii="宋体" w:hAnsi="宋体"/>
                <w:color w:val="000000"/>
                <w:kern w:val="0"/>
                <w:szCs w:val="21"/>
              </w:rPr>
              <w:t>（30分）</w:t>
            </w:r>
          </w:p>
        </w:tc>
        <w:tc>
          <w:tcPr>
            <w:tcW w:w="1560" w:type="dxa"/>
            <w:tcBorders>
              <w:top w:val="single" w:color="auto" w:sz="4" w:space="0"/>
              <w:left w:val="nil"/>
              <w:bottom w:val="single" w:color="auto" w:sz="4" w:space="0"/>
              <w:right w:val="single" w:color="auto" w:sz="4" w:space="0"/>
            </w:tcBorders>
            <w:vAlign w:val="center"/>
          </w:tcPr>
          <w:p>
            <w:pPr>
              <w:widowControl/>
              <w:jc w:val="center"/>
              <w:rPr>
                <w:rFonts w:ascii="宋体" w:hAnsi="宋体"/>
                <w:szCs w:val="21"/>
              </w:rPr>
            </w:pPr>
            <w:r>
              <w:rPr>
                <w:rFonts w:hint="eastAsia" w:ascii="宋体" w:hAnsi="宋体"/>
                <w:color w:val="000000"/>
                <w:kern w:val="0"/>
                <w:szCs w:val="21"/>
              </w:rPr>
              <w:t>报价</w:t>
            </w:r>
          </w:p>
          <w:p>
            <w:pPr>
              <w:widowControl/>
              <w:jc w:val="center"/>
              <w:rPr>
                <w:rFonts w:ascii="宋体" w:hAnsi="宋体"/>
                <w:szCs w:val="21"/>
              </w:rPr>
            </w:pPr>
            <w:r>
              <w:rPr>
                <w:rFonts w:hint="eastAsia" w:ascii="宋体" w:hAnsi="宋体"/>
                <w:color w:val="000000"/>
                <w:kern w:val="0"/>
                <w:szCs w:val="21"/>
              </w:rPr>
              <w:t>（30分）</w:t>
            </w:r>
          </w:p>
        </w:tc>
        <w:tc>
          <w:tcPr>
            <w:tcW w:w="6725" w:type="dxa"/>
            <w:tcBorders>
              <w:top w:val="single" w:color="auto" w:sz="4" w:space="0"/>
              <w:left w:val="nil"/>
              <w:bottom w:val="single" w:color="auto" w:sz="4" w:space="0"/>
              <w:right w:val="single" w:color="auto" w:sz="4" w:space="0"/>
            </w:tcBorders>
            <w:vAlign w:val="center"/>
          </w:tcPr>
          <w:p>
            <w:pPr>
              <w:widowControl/>
              <w:jc w:val="left"/>
              <w:rPr>
                <w:rFonts w:ascii="宋体" w:hAnsi="宋体"/>
                <w:color w:val="000000"/>
                <w:kern w:val="0"/>
                <w:szCs w:val="21"/>
              </w:rPr>
            </w:pPr>
            <w:r>
              <w:rPr>
                <w:rFonts w:hint="eastAsia" w:ascii="宋体" w:hAnsi="宋体"/>
                <w:color w:val="000000"/>
                <w:kern w:val="0"/>
                <w:szCs w:val="21"/>
              </w:rPr>
              <w:t>评标基准价：满足招标文件要求的有效投标报价中，最低的投标报价为评标基准价。</w:t>
            </w:r>
          </w:p>
          <w:p>
            <w:pPr>
              <w:widowControl/>
              <w:jc w:val="left"/>
              <w:rPr>
                <w:rFonts w:ascii="宋体" w:hAnsi="宋体"/>
                <w:color w:val="000000"/>
                <w:kern w:val="0"/>
                <w:szCs w:val="21"/>
              </w:rPr>
            </w:pPr>
            <w:r>
              <w:rPr>
                <w:rFonts w:hint="eastAsia" w:ascii="宋体" w:hAnsi="宋体"/>
                <w:color w:val="000000"/>
                <w:kern w:val="0"/>
                <w:szCs w:val="21"/>
              </w:rPr>
              <w:t xml:space="preserve">投标报价得分=（评标基准价/投标报价）×30   </w:t>
            </w:r>
          </w:p>
        </w:tc>
      </w:tr>
      <w:tr>
        <w:trPr>
          <w:trHeight w:val="1336" w:hRule="atLeast"/>
        </w:trPr>
        <w:tc>
          <w:tcPr>
            <w:tcW w:w="1180" w:type="dxa"/>
            <w:vMerge w:val="restart"/>
            <w:tcBorders>
              <w:top w:val="nil"/>
              <w:left w:val="single" w:color="auto" w:sz="4" w:space="0"/>
              <w:right w:val="single" w:color="auto" w:sz="4" w:space="0"/>
            </w:tcBorders>
            <w:vAlign w:val="center"/>
          </w:tcPr>
          <w:p>
            <w:pPr>
              <w:widowControl/>
              <w:ind w:leftChars="-2" w:hanging="4" w:hangingChars="2"/>
              <w:jc w:val="center"/>
              <w:rPr>
                <w:rFonts w:ascii="宋体" w:hAnsi="宋体"/>
                <w:szCs w:val="21"/>
              </w:rPr>
            </w:pPr>
            <w:r>
              <w:rPr>
                <w:rFonts w:hint="eastAsia" w:ascii="宋体" w:hAnsi="宋体"/>
                <w:color w:val="000000"/>
                <w:kern w:val="0"/>
                <w:szCs w:val="21"/>
              </w:rPr>
              <w:t>商务部分</w:t>
            </w:r>
          </w:p>
          <w:p>
            <w:pPr>
              <w:widowControl/>
              <w:ind w:leftChars="-2" w:hanging="4" w:hangingChars="2"/>
              <w:jc w:val="center"/>
              <w:rPr>
                <w:rFonts w:ascii="宋体" w:hAnsi="宋体"/>
                <w:szCs w:val="21"/>
              </w:rPr>
            </w:pPr>
            <w:r>
              <w:rPr>
                <w:rFonts w:hint="eastAsia" w:ascii="宋体" w:hAnsi="宋体"/>
                <w:color w:val="000000"/>
                <w:kern w:val="0"/>
                <w:szCs w:val="21"/>
              </w:rPr>
              <w:t>（30分）</w:t>
            </w:r>
          </w:p>
        </w:tc>
        <w:tc>
          <w:tcPr>
            <w:tcW w:w="1560" w:type="dxa"/>
            <w:tcBorders>
              <w:top w:val="single" w:color="auto" w:sz="4" w:space="0"/>
              <w:left w:val="nil"/>
              <w:bottom w:val="single" w:color="auto" w:sz="4" w:space="0"/>
              <w:right w:val="single" w:color="auto" w:sz="4" w:space="0"/>
            </w:tcBorders>
            <w:vAlign w:val="center"/>
          </w:tcPr>
          <w:p>
            <w:pPr>
              <w:widowControl/>
              <w:jc w:val="left"/>
              <w:rPr>
                <w:rFonts w:ascii="宋体" w:hAnsi="宋体"/>
                <w:color w:val="000000"/>
                <w:kern w:val="0"/>
                <w:szCs w:val="21"/>
                <w:lang w:val="zh-CN"/>
              </w:rPr>
            </w:pPr>
            <w:r>
              <w:rPr>
                <w:rFonts w:hint="eastAsia" w:ascii="宋体" w:hAnsi="宋体"/>
                <w:color w:val="000000"/>
                <w:kern w:val="0"/>
                <w:szCs w:val="21"/>
                <w:lang w:val="zh-CN"/>
              </w:rPr>
              <w:t>企业业绩（</w:t>
            </w:r>
            <w:r>
              <w:rPr>
                <w:rFonts w:hint="eastAsia" w:ascii="宋体" w:hAnsi="宋体"/>
                <w:color w:val="000000"/>
                <w:kern w:val="0"/>
                <w:szCs w:val="21"/>
              </w:rPr>
              <w:t>24</w:t>
            </w:r>
            <w:r>
              <w:rPr>
                <w:rFonts w:hint="eastAsia" w:ascii="宋体" w:hAnsi="宋体"/>
                <w:color w:val="000000"/>
                <w:kern w:val="0"/>
                <w:szCs w:val="21"/>
                <w:lang w:val="zh-CN"/>
              </w:rPr>
              <w:t>分）</w:t>
            </w:r>
          </w:p>
        </w:tc>
        <w:tc>
          <w:tcPr>
            <w:tcW w:w="6725" w:type="dxa"/>
            <w:tcBorders>
              <w:top w:val="single" w:color="auto" w:sz="4" w:space="0"/>
              <w:left w:val="nil"/>
              <w:bottom w:val="single" w:color="auto" w:sz="4" w:space="0"/>
              <w:right w:val="single" w:color="auto" w:sz="4" w:space="0"/>
            </w:tcBorders>
            <w:vAlign w:val="center"/>
          </w:tcPr>
          <w:p>
            <w:pPr>
              <w:widowControl/>
              <w:jc w:val="left"/>
              <w:rPr>
                <w:rFonts w:ascii="宋体" w:hAnsi="宋体"/>
                <w:kern w:val="0"/>
                <w:szCs w:val="21"/>
              </w:rPr>
            </w:pPr>
            <w:r>
              <w:rPr>
                <w:rFonts w:hint="eastAsia" w:ascii="宋体" w:hAnsi="宋体"/>
                <w:kern w:val="0"/>
                <w:szCs w:val="21"/>
                <w:lang w:val="zh-CN"/>
              </w:rPr>
              <w:t>20</w:t>
            </w:r>
            <w:r>
              <w:rPr>
                <w:rFonts w:hint="eastAsia" w:ascii="宋体" w:hAnsi="宋体"/>
                <w:kern w:val="0"/>
                <w:szCs w:val="21"/>
              </w:rPr>
              <w:t>20</w:t>
            </w:r>
            <w:r>
              <w:rPr>
                <w:rFonts w:hint="eastAsia" w:ascii="宋体" w:hAnsi="宋体"/>
                <w:kern w:val="0"/>
                <w:szCs w:val="21"/>
                <w:lang w:val="zh-CN"/>
              </w:rPr>
              <w:t>年1月1日以来（以合同签订时间为准）企业具有类似工程者且</w:t>
            </w:r>
            <w:r>
              <w:rPr>
                <w:rFonts w:ascii="宋体" w:hAnsi="宋体"/>
                <w:kern w:val="0"/>
                <w:szCs w:val="21"/>
                <w:lang w:val="zh-CN"/>
              </w:rPr>
              <w:t>合同金额大于</w:t>
            </w:r>
            <w:r>
              <w:rPr>
                <w:rFonts w:hint="eastAsia" w:ascii="宋体" w:hAnsi="宋体"/>
                <w:kern w:val="0"/>
                <w:szCs w:val="21"/>
                <w:lang w:val="zh-CN"/>
              </w:rPr>
              <w:t>50万</w:t>
            </w:r>
            <w:r>
              <w:rPr>
                <w:rFonts w:ascii="宋体" w:hAnsi="宋体"/>
                <w:kern w:val="0"/>
                <w:szCs w:val="21"/>
                <w:lang w:val="zh-CN"/>
              </w:rPr>
              <w:t>，</w:t>
            </w:r>
            <w:r>
              <w:rPr>
                <w:rFonts w:hint="eastAsia" w:ascii="宋体" w:hAnsi="宋体"/>
                <w:kern w:val="0"/>
                <w:szCs w:val="21"/>
                <w:lang w:val="zh-CN"/>
              </w:rPr>
              <w:t>每项得</w:t>
            </w:r>
            <w:r>
              <w:rPr>
                <w:rFonts w:hint="eastAsia" w:ascii="宋体" w:hAnsi="宋体"/>
                <w:kern w:val="0"/>
                <w:szCs w:val="21"/>
              </w:rPr>
              <w:t>6</w:t>
            </w:r>
            <w:r>
              <w:rPr>
                <w:rFonts w:hint="eastAsia" w:ascii="宋体" w:hAnsi="宋体"/>
                <w:kern w:val="0"/>
                <w:szCs w:val="21"/>
                <w:lang w:val="zh-CN"/>
              </w:rPr>
              <w:t>分，本项最高得</w:t>
            </w:r>
            <w:r>
              <w:rPr>
                <w:rFonts w:hint="eastAsia" w:ascii="宋体" w:hAnsi="宋体"/>
                <w:kern w:val="0"/>
                <w:szCs w:val="21"/>
              </w:rPr>
              <w:t>24</w:t>
            </w:r>
            <w:r>
              <w:rPr>
                <w:rFonts w:hint="eastAsia" w:ascii="宋体" w:hAnsi="宋体"/>
                <w:kern w:val="0"/>
                <w:szCs w:val="21"/>
                <w:lang w:val="zh-CN"/>
              </w:rPr>
              <w:t>分。【以中标通知书和合同协议书或（合同协议书和工程竣工验收资料为准）】</w:t>
            </w:r>
          </w:p>
        </w:tc>
      </w:tr>
      <w:tr>
        <w:trPr>
          <w:trHeight w:val="907" w:hRule="atLeast"/>
        </w:trPr>
        <w:tc>
          <w:tcPr>
            <w:tcW w:w="1180" w:type="dxa"/>
            <w:vMerge w:val="continue"/>
            <w:tcBorders>
              <w:left w:val="single" w:color="auto" w:sz="4" w:space="0"/>
              <w:right w:val="single" w:color="auto" w:sz="4" w:space="0"/>
            </w:tcBorders>
            <w:vAlign w:val="center"/>
          </w:tcPr>
          <w:p>
            <w:pPr>
              <w:rPr>
                <w:rFonts w:ascii="宋体" w:hAnsi="宋体"/>
                <w:color w:val="000000"/>
                <w:szCs w:val="21"/>
              </w:rPr>
            </w:pPr>
          </w:p>
        </w:tc>
        <w:tc>
          <w:tcPr>
            <w:tcW w:w="1560" w:type="dxa"/>
            <w:vMerge w:val="restart"/>
            <w:tcBorders>
              <w:top w:val="single" w:color="auto" w:sz="4" w:space="0"/>
              <w:left w:val="nil"/>
              <w:right w:val="single" w:color="auto" w:sz="4" w:space="0"/>
            </w:tcBorders>
            <w:vAlign w:val="center"/>
          </w:tcPr>
          <w:p>
            <w:pPr>
              <w:snapToGrid w:val="0"/>
              <w:jc w:val="center"/>
              <w:rPr>
                <w:rFonts w:ascii="宋体" w:hAnsi="宋体"/>
                <w:szCs w:val="21"/>
                <w:lang w:val="zh-CN"/>
              </w:rPr>
            </w:pPr>
            <w:r>
              <w:rPr>
                <w:rFonts w:hint="eastAsia" w:ascii="宋体" w:hAnsi="宋体"/>
                <w:szCs w:val="21"/>
                <w:lang w:val="zh-CN"/>
              </w:rPr>
              <w:t>企业信用（</w:t>
            </w:r>
            <w:r>
              <w:rPr>
                <w:rFonts w:hint="eastAsia" w:ascii="宋体" w:hAnsi="宋体"/>
                <w:color w:val="000000"/>
                <w:kern w:val="0"/>
                <w:szCs w:val="21"/>
              </w:rPr>
              <w:t>含纳税诚信）</w:t>
            </w:r>
          </w:p>
          <w:p>
            <w:pPr>
              <w:snapToGrid w:val="0"/>
              <w:jc w:val="center"/>
              <w:rPr>
                <w:rFonts w:ascii="宋体" w:hAnsi="宋体"/>
                <w:szCs w:val="21"/>
              </w:rPr>
            </w:pPr>
            <w:r>
              <w:rPr>
                <w:rFonts w:hint="eastAsia" w:ascii="宋体" w:hAnsi="宋体"/>
                <w:color w:val="000000"/>
                <w:kern w:val="0"/>
                <w:szCs w:val="21"/>
              </w:rPr>
              <w:t>（6分）</w:t>
            </w:r>
          </w:p>
        </w:tc>
        <w:tc>
          <w:tcPr>
            <w:tcW w:w="6725" w:type="dxa"/>
            <w:tcBorders>
              <w:top w:val="single" w:color="auto" w:sz="4" w:space="0"/>
              <w:left w:val="nil"/>
              <w:bottom w:val="single" w:color="auto" w:sz="4" w:space="0"/>
              <w:right w:val="single" w:color="auto" w:sz="4" w:space="0"/>
            </w:tcBorders>
            <w:vAlign w:val="center"/>
          </w:tcPr>
          <w:p>
            <w:pPr>
              <w:widowControl/>
              <w:jc w:val="left"/>
              <w:rPr>
                <w:rFonts w:ascii="宋体" w:hAnsi="宋体"/>
                <w:kern w:val="0"/>
                <w:szCs w:val="21"/>
              </w:rPr>
            </w:pPr>
            <w:r>
              <w:rPr>
                <w:rFonts w:hint="eastAsia" w:ascii="宋体" w:hAnsi="宋体"/>
                <w:kern w:val="0"/>
                <w:szCs w:val="21"/>
              </w:rPr>
              <w:t>投标人提供自2020年以来连续三年国家税务总局纳税信用评价信息截图及纳税信用等级证书，评价结果为B级的得1分,A级的得3分。（提供国家税务总局网站截图或相关证明材料扫描件或图片）</w:t>
            </w:r>
          </w:p>
        </w:tc>
      </w:tr>
      <w:tr>
        <w:trPr>
          <w:trHeight w:val="1104" w:hRule="atLeast"/>
        </w:trPr>
        <w:tc>
          <w:tcPr>
            <w:tcW w:w="1180" w:type="dxa"/>
            <w:vMerge w:val="continue"/>
            <w:tcBorders>
              <w:left w:val="single" w:color="auto" w:sz="4" w:space="0"/>
              <w:bottom w:val="single" w:color="auto" w:sz="4" w:space="0"/>
              <w:right w:val="single" w:color="auto" w:sz="4" w:space="0"/>
            </w:tcBorders>
            <w:vAlign w:val="center"/>
          </w:tcPr>
          <w:p>
            <w:pPr>
              <w:rPr>
                <w:rFonts w:ascii="宋体" w:hAnsi="宋体"/>
                <w:color w:val="000000"/>
                <w:szCs w:val="21"/>
              </w:rPr>
            </w:pPr>
          </w:p>
        </w:tc>
        <w:tc>
          <w:tcPr>
            <w:tcW w:w="1560" w:type="dxa"/>
            <w:vMerge w:val="continue"/>
            <w:tcBorders>
              <w:left w:val="nil"/>
              <w:bottom w:val="single" w:color="auto" w:sz="4" w:space="0"/>
              <w:right w:val="single" w:color="auto" w:sz="4" w:space="0"/>
            </w:tcBorders>
            <w:vAlign w:val="center"/>
          </w:tcPr>
          <w:p>
            <w:pPr>
              <w:snapToGrid w:val="0"/>
              <w:jc w:val="center"/>
              <w:rPr>
                <w:rFonts w:ascii="宋体" w:hAnsi="宋体"/>
                <w:szCs w:val="21"/>
              </w:rPr>
            </w:pPr>
          </w:p>
        </w:tc>
        <w:tc>
          <w:tcPr>
            <w:tcW w:w="6725" w:type="dxa"/>
            <w:tcBorders>
              <w:top w:val="single" w:color="auto" w:sz="4" w:space="0"/>
              <w:left w:val="nil"/>
              <w:bottom w:val="single" w:color="auto" w:sz="4" w:space="0"/>
              <w:right w:val="single" w:color="auto" w:sz="4" w:space="0"/>
            </w:tcBorders>
            <w:vAlign w:val="center"/>
          </w:tcPr>
          <w:p>
            <w:pPr>
              <w:widowControl/>
              <w:jc w:val="left"/>
              <w:rPr>
                <w:rFonts w:ascii="宋体" w:hAnsi="宋体"/>
                <w:kern w:val="0"/>
                <w:szCs w:val="21"/>
              </w:rPr>
            </w:pPr>
            <w:r>
              <w:rPr>
                <w:rFonts w:hint="eastAsia" w:ascii="宋体" w:hAnsi="宋体"/>
                <w:kern w:val="0"/>
                <w:szCs w:val="21"/>
              </w:rPr>
              <w:t>投标人提供2020年1月1日以来第三方信用评级机构出具的有效的企业信用证书，等级为AAA级的得3分；AA级的得2分；A级的得1分。</w:t>
            </w:r>
          </w:p>
        </w:tc>
      </w:tr>
      <w:tr>
        <w:trPr>
          <w:trHeight w:val="917" w:hRule="atLeast"/>
        </w:trPr>
        <w:tc>
          <w:tcPr>
            <w:tcW w:w="118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szCs w:val="21"/>
              </w:rPr>
            </w:pPr>
            <w:r>
              <w:rPr>
                <w:rFonts w:hint="eastAsia" w:ascii="宋体" w:hAnsi="宋体"/>
                <w:color w:val="000000"/>
                <w:kern w:val="0"/>
                <w:szCs w:val="21"/>
              </w:rPr>
              <w:t>技术部分</w:t>
            </w:r>
          </w:p>
          <w:p>
            <w:pPr>
              <w:widowControl/>
              <w:jc w:val="center"/>
              <w:rPr>
                <w:rFonts w:ascii="宋体" w:hAnsi="宋体"/>
                <w:szCs w:val="21"/>
              </w:rPr>
            </w:pPr>
            <w:r>
              <w:rPr>
                <w:rFonts w:hint="eastAsia" w:ascii="宋体" w:hAnsi="宋体"/>
                <w:color w:val="000000"/>
                <w:kern w:val="0"/>
                <w:szCs w:val="21"/>
              </w:rPr>
              <w:t>（40分）</w:t>
            </w:r>
          </w:p>
        </w:tc>
        <w:tc>
          <w:tcPr>
            <w:tcW w:w="1560" w:type="dxa"/>
            <w:tcBorders>
              <w:top w:val="single" w:color="auto" w:sz="4" w:space="0"/>
              <w:left w:val="nil"/>
              <w:bottom w:val="single" w:color="auto" w:sz="4" w:space="0"/>
              <w:right w:val="single" w:color="auto" w:sz="4" w:space="0"/>
            </w:tcBorders>
            <w:vAlign w:val="center"/>
          </w:tcPr>
          <w:p>
            <w:pPr>
              <w:widowControl/>
              <w:jc w:val="center"/>
              <w:rPr>
                <w:rFonts w:ascii="宋体" w:hAnsi="宋体"/>
                <w:szCs w:val="21"/>
              </w:rPr>
            </w:pPr>
            <w:r>
              <w:rPr>
                <w:rFonts w:hint="eastAsia" w:ascii="宋体" w:hAnsi="宋体"/>
                <w:color w:val="000000"/>
                <w:kern w:val="0"/>
                <w:szCs w:val="21"/>
              </w:rPr>
              <w:t>项目实施方案</w:t>
            </w:r>
          </w:p>
          <w:p>
            <w:pPr>
              <w:widowControl/>
              <w:jc w:val="center"/>
              <w:rPr>
                <w:rFonts w:ascii="宋体" w:hAnsi="宋体"/>
                <w:szCs w:val="21"/>
              </w:rPr>
            </w:pPr>
            <w:r>
              <w:rPr>
                <w:rFonts w:hint="eastAsia" w:ascii="宋体" w:hAnsi="宋体"/>
                <w:color w:val="000000"/>
                <w:kern w:val="0"/>
                <w:szCs w:val="21"/>
              </w:rPr>
              <w:t>（40分）</w:t>
            </w:r>
          </w:p>
        </w:tc>
        <w:tc>
          <w:tcPr>
            <w:tcW w:w="6725" w:type="dxa"/>
            <w:tcBorders>
              <w:top w:val="single" w:color="auto" w:sz="4" w:space="0"/>
              <w:left w:val="nil"/>
              <w:bottom w:val="single" w:color="auto" w:sz="4" w:space="0"/>
              <w:right w:val="single" w:color="auto" w:sz="4" w:space="0"/>
            </w:tcBorders>
            <w:vAlign w:val="center"/>
          </w:tcPr>
          <w:p>
            <w:pPr>
              <w:widowControl/>
              <w:jc w:val="left"/>
              <w:rPr>
                <w:rFonts w:ascii="宋体" w:hAnsi="宋体"/>
                <w:color w:val="000000"/>
                <w:kern w:val="0"/>
                <w:szCs w:val="21"/>
              </w:rPr>
            </w:pPr>
            <w:r>
              <w:rPr>
                <w:rFonts w:hint="eastAsia" w:ascii="宋体" w:hAnsi="宋体"/>
                <w:color w:val="000000"/>
                <w:kern w:val="0"/>
                <w:szCs w:val="21"/>
              </w:rPr>
              <w:t>1.项目设计方案及施工方案科学、环保得5-10分，方案不完善、可行性低的得1-4分，无方案得0分（10分）。</w:t>
            </w:r>
          </w:p>
          <w:p>
            <w:pPr>
              <w:widowControl/>
              <w:jc w:val="left"/>
              <w:rPr>
                <w:rFonts w:ascii="宋体" w:hAnsi="宋体"/>
                <w:color w:val="000000"/>
                <w:kern w:val="0"/>
                <w:szCs w:val="21"/>
              </w:rPr>
            </w:pPr>
            <w:r>
              <w:rPr>
                <w:rFonts w:hint="eastAsia" w:ascii="宋体" w:hAnsi="宋体"/>
                <w:color w:val="000000"/>
                <w:kern w:val="0"/>
                <w:szCs w:val="21"/>
              </w:rPr>
              <w:t>2.建立项目质量管理体系，管理措施完善得4-6分，措施不完善得1-3分，无质量管理体系得0分（6分）。</w:t>
            </w:r>
          </w:p>
          <w:p>
            <w:pPr>
              <w:widowControl/>
              <w:jc w:val="left"/>
              <w:rPr>
                <w:rFonts w:ascii="宋体" w:hAnsi="宋体"/>
                <w:color w:val="000000"/>
                <w:kern w:val="0"/>
                <w:szCs w:val="21"/>
              </w:rPr>
            </w:pPr>
            <w:r>
              <w:rPr>
                <w:rFonts w:hint="eastAsia" w:ascii="宋体" w:hAnsi="宋体"/>
                <w:color w:val="000000"/>
                <w:kern w:val="0"/>
                <w:szCs w:val="21"/>
              </w:rPr>
              <w:t>3.建立安全管理体系，安全措施完备得4-6分，措施不完备得1-3分，无安全管理体系得0分（6分）。</w:t>
            </w:r>
          </w:p>
          <w:p>
            <w:pPr>
              <w:widowControl/>
              <w:jc w:val="left"/>
              <w:rPr>
                <w:rFonts w:ascii="宋体" w:hAnsi="宋体"/>
                <w:color w:val="000000"/>
                <w:kern w:val="0"/>
                <w:szCs w:val="21"/>
              </w:rPr>
            </w:pPr>
            <w:r>
              <w:rPr>
                <w:rFonts w:hint="eastAsia" w:ascii="宋体" w:hAnsi="宋体"/>
                <w:color w:val="000000"/>
                <w:kern w:val="0"/>
                <w:szCs w:val="21"/>
              </w:rPr>
              <w:t>4.项目进度计划与措施安排合理得4-6分，项目进度安排可行性低得1-3分（6分）。</w:t>
            </w:r>
          </w:p>
          <w:p>
            <w:pPr>
              <w:widowControl/>
              <w:jc w:val="left"/>
              <w:rPr>
                <w:rFonts w:ascii="宋体" w:hAnsi="宋体"/>
                <w:color w:val="000000"/>
                <w:kern w:val="0"/>
                <w:szCs w:val="21"/>
              </w:rPr>
            </w:pPr>
            <w:r>
              <w:rPr>
                <w:rFonts w:hint="eastAsia" w:ascii="宋体" w:hAnsi="宋体"/>
                <w:color w:val="000000"/>
                <w:kern w:val="0"/>
                <w:szCs w:val="21"/>
              </w:rPr>
              <w:t>5.供应材料质量保证措施明确的得4-6分，不明确的得1-3分，无质量保证措施得0分（6分）。</w:t>
            </w:r>
          </w:p>
          <w:p>
            <w:pPr>
              <w:widowControl/>
              <w:jc w:val="left"/>
              <w:rPr>
                <w:rFonts w:ascii="宋体" w:hAnsi="宋体"/>
                <w:color w:val="000000"/>
                <w:kern w:val="0"/>
                <w:szCs w:val="21"/>
                <w:lang w:val="zh-CN"/>
              </w:rPr>
            </w:pPr>
            <w:r>
              <w:rPr>
                <w:rFonts w:hint="eastAsia" w:ascii="宋体" w:hAnsi="宋体"/>
                <w:color w:val="000000"/>
                <w:kern w:val="0"/>
                <w:szCs w:val="21"/>
              </w:rPr>
              <w:t>6.明确项目质量保证期限，提供承诺书得2分，项目质量保证措施完善得2-4分，不完善得1分，无项目质量保证措施得0分（6分）。</w:t>
            </w:r>
          </w:p>
        </w:tc>
      </w:tr>
    </w:tbl>
    <w:p>
      <w:pPr>
        <w:tabs>
          <w:tab w:val="left" w:pos="622"/>
        </w:tabs>
        <w:spacing w:line="560" w:lineRule="exact"/>
        <w:ind w:right="960"/>
        <w:rPr>
          <w:rFonts w:ascii="宋体" w:hAnsi="宋体"/>
          <w:b/>
          <w:color w:val="000000"/>
          <w:kern w:val="0"/>
          <w:sz w:val="28"/>
          <w:szCs w:val="28"/>
        </w:rPr>
      </w:pPr>
      <w:r>
        <w:rPr>
          <w:rFonts w:hint="eastAsia" w:ascii="宋体" w:hAnsi="宋体"/>
          <w:b/>
          <w:color w:val="000000"/>
          <w:kern w:val="0"/>
          <w:sz w:val="28"/>
          <w:szCs w:val="28"/>
        </w:rPr>
        <w:t xml:space="preserve"> </w:t>
      </w:r>
    </w:p>
    <w:sectPr>
      <w:pgSz w:w="11906" w:h="16838"/>
      <w:pgMar w:top="1440" w:right="1800" w:bottom="1440" w:left="1800" w:header="851" w:footer="992" w:gutter="0"/>
      <w:cols w:space="720" w:num="1"/>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Tahoma">
    <w:panose1 w:val="020B0604030504040204"/>
    <w:charset w:val="00"/>
    <w:family w:val="auto"/>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Calibri">
    <w:panose1 w:val="020F0502020204030204"/>
    <w:charset w:val="00"/>
    <w:family w:val="auto"/>
    <w:pitch w:val="default"/>
    <w:sig w:usb0="E4002EFF" w:usb1="C000247B" w:usb2="00000009" w:usb3="00000000" w:csb0="200001FF" w:csb1="00000000"/>
  </w:font>
  <w:font w:name="Calibri Light">
    <w:panose1 w:val="020F0302020204030204"/>
    <w:charset w:val="00"/>
    <w:family w:val="auto"/>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style w:type="paragraph" w:default="1" w:styleId="1">
    <w:name w:val="Normal"/>
    <w:next w:val="2"/>
    <w:pPr>
      <w:widowControl w:val="0"/>
      <w:jc w:val="both"/>
    </w:pPr>
    <w:rPr>
      <w:rFonts w:ascii="Calibri" w:hAnsi="Calibri" w:eastAsia="宋体" w:cs="宋体"/>
      <w:kern w:val="2"/>
      <w:sz w:val="21"/>
      <w:szCs w:val="24"/>
      <w:lang w:val="en-US" w:eastAsia="zh-CN" w:bidi="ar-SA"/>
    </w:rPr>
  </w:style>
  <w:style w:type="paragraph" w:styleId="2">
    <w:name w:val="heading 2"/>
    <w:basedOn w:val="1"/>
    <w:next w:val="1"/>
    <w:pPr>
      <w:keepNext/>
      <w:keepLines/>
      <w:spacing w:before="260" w:after="260" w:line="416" w:lineRule="auto"/>
      <w:outlineLvl w:val="1"/>
    </w:pPr>
    <w:rPr>
      <w:rFonts w:ascii="Arial" w:hAnsi="Arial"/>
      <w:b/>
      <w:bCs/>
      <w:sz w:val="24"/>
      <w:szCs w:val="32"/>
    </w:rPr>
  </w:style>
  <w:style w:type="character" w:default="1" w:styleId="5">
    <w:name w:val="Default Paragraph Font"/>
  </w:style>
  <w:style w:type="paragraph" w:styleId="3">
    <w:name w:val="footer"/>
    <w:basedOn w:val="1"/>
    <w:link w:val="9"/>
    <w:pPr>
      <w:tabs>
        <w:tab w:val="center" w:pos="4153"/>
        <w:tab w:val="right" w:pos="8306"/>
      </w:tabs>
      <w:snapToGrid w:val="0"/>
      <w:jc w:val="left"/>
    </w:pPr>
    <w:rPr>
      <w:rFonts w:ascii="Calibri" w:hAnsi="Calibri" w:eastAsia="宋体" w:cs="宋体"/>
      <w:kern w:val="2"/>
      <w:sz w:val="18"/>
      <w:szCs w:val="18"/>
    </w:rPr>
  </w:style>
  <w:style w:type="paragraph" w:styleId="4">
    <w:name w:val="header"/>
    <w:basedOn w:val="1"/>
    <w:link w:val="8"/>
    <w:pPr>
      <w:pBdr>
        <w:bottom w:val="single" w:color="auto" w:sz="6" w:space="1"/>
      </w:pBdr>
      <w:tabs>
        <w:tab w:val="center" w:pos="4153"/>
        <w:tab w:val="right" w:pos="8306"/>
      </w:tabs>
      <w:snapToGrid w:val="0"/>
      <w:jc w:val="center"/>
    </w:pPr>
    <w:rPr>
      <w:rFonts w:ascii="Calibri" w:hAnsi="Calibri" w:eastAsia="宋体" w:cs="宋体"/>
      <w:kern w:val="2"/>
      <w:sz w:val="18"/>
      <w:szCs w:val="18"/>
    </w:rPr>
  </w:style>
  <w:style w:type="paragraph" w:customStyle="1" w:styleId="6">
    <w:name w:val="Message Header"/>
    <w:basedOn w:val="1"/>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libri Light" w:hAnsi="Calibri Light" w:cs="Times New Roman"/>
      <w:sz w:val="24"/>
    </w:rPr>
  </w:style>
  <w:style w:type="paragraph" w:customStyle="1" w:styleId="7">
    <w:name w:val="List Paragraph"/>
    <w:basedOn w:val="1"/>
    <w:pPr>
      <w:ind w:firstLine="420" w:firstLineChars="200"/>
    </w:pPr>
  </w:style>
  <w:style w:type="character" w:customStyle="1" w:styleId="8">
    <w:name w:val="页眉 字符"/>
    <w:basedOn w:val="5"/>
    <w:link w:val="4"/>
    <w:semiHidden/>
    <w:rPr>
      <w:rFonts w:ascii="Calibri" w:hAnsi="Calibri" w:eastAsia="宋体" w:cs="宋体"/>
      <w:kern w:val="2"/>
      <w:sz w:val="18"/>
      <w:szCs w:val="18"/>
    </w:rPr>
  </w:style>
  <w:style w:type="character" w:customStyle="1" w:styleId="9">
    <w:name w:val="页脚 字符"/>
    <w:basedOn w:val="5"/>
    <w:link w:val="3"/>
    <w:semiHidden/>
    <w:rPr>
      <w:rFonts w:ascii="Calibri" w:hAnsi="Calibri" w:eastAsia="宋体" w:cs="宋体"/>
      <w:kern w:val="2"/>
      <w:sz w:val="18"/>
      <w:szCs w:val="18"/>
    </w:rPr>
  </w:style>
</w:styles>
</file>

<file path=word/_rels/document.xml.rels><?xml version="1.0" encoding="UTF-8" standalone="yes"?>
<Relationships xmlns="http://schemas.openxmlformats.org/package/2006/relationships"><Relationship Id="rId1" Type="http://schemas.openxmlformats.org/officeDocument/2006/relationships/fontTable" Target="fontTable.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customXml" Target="../customXml/item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5</Pages>
  <Words>292</Words>
  <Characters>1665</Characters>
  <Lines>13</Lines>
  <Paragraphs>3</Paragraphs>
  <TotalTime>0</TotalTime>
  <ScaleCrop>false</ScaleCrop>
  <LinksUpToDate>false</LinksUpToDate>
  <CharactersWithSpaces>0</CharactersWithSpaces>
  <Application>WPS Office 专业版_9.1.0.4167</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2023-11-23T15:50:00Z</dcterms:created>
  <dc:creator>Administrator</dc:creator>
  <cp:lastPrinted>2023-12-01T15:31:00Z</cp:lastPrinted>
  <dcterms:modified xsi:type="dcterms:W3CDTF">2023-12-01T17:21:07Z</dcterms:modified>
  <dc:title>陽光</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2052-9.1.0.4167</vt:lpwstr>
  </property>
  <property fmtid="{D5CDD505-2E9C-101B-9397-08002B2CF9AE}" pid="3" name="ICV">
    <vt:lpwstr>DB53ABFA1CA6411B99F2A74C376242B7_13</vt:lpwstr>
  </property>
</Properties>
</file>