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Default ContentType="image/x-wmf" Extension="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仿宋_GB2312" w:hAnsi="仿宋" w:eastAsia="仿宋_GB2312" w:cs="仿宋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仿宋"/>
          <w:b/>
          <w:sz w:val="36"/>
          <w:szCs w:val="36"/>
          <w:lang w:eastAsia="zh-CN"/>
        </w:rPr>
        <w:t>报价单</w:t>
      </w:r>
    </w:p>
    <w:tbl>
      <w:tblPr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5579"/>
      </w:tblGrid>
      <w:tr>
        <w:trPr>
          <w:trHeight w:val="1220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854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城投大厦西侧广场石材修复及石球墩采购项目</w:t>
            </w:r>
          </w:p>
        </w:tc>
      </w:tr>
      <w:tr>
        <w:trPr>
          <w:trHeight w:val="1197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申请人名称</w:t>
            </w:r>
          </w:p>
        </w:tc>
        <w:tc>
          <w:tcPr>
            <w:tcW w:w="68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rPr>
          <w:trHeight w:val="4027" w:hRule="atLeast"/>
        </w:trPr>
        <w:tc>
          <w:tcPr>
            <w:tcW w:w="29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范围</w:t>
            </w:r>
          </w:p>
        </w:tc>
        <w:tc>
          <w:tcPr>
            <w:tcW w:w="5579" w:type="dxa"/>
            <w:vAlign w:val="center"/>
          </w:tcPr>
          <w:p>
            <w:pPr>
              <w:numPr>
                <w:numId w:val="0"/>
              </w:numPr>
              <w:ind w:left="640"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1.50cm*50cm石球墩100个；</w:t>
            </w:r>
          </w:p>
          <w:p>
            <w:pPr>
              <w:numPr>
                <w:numId w:val="0"/>
              </w:numPr>
              <w:ind w:left="640"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2.3分厚度600mm*900mm烧面芝麻白石材90平方；</w:t>
            </w:r>
          </w:p>
          <w:p>
            <w:pPr>
              <w:numPr>
                <w:numId w:val="0"/>
              </w:numPr>
              <w:ind w:left="640"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3.3分厚度600mm*600mm烧面芝麻黑石材130平方；</w:t>
            </w:r>
          </w:p>
          <w:p>
            <w:pPr>
              <w:numPr>
                <w:numId w:val="0"/>
              </w:num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4.辅材、施工及垃圾清运费用；</w:t>
            </w:r>
          </w:p>
          <w:p>
            <w:pPr>
              <w:numPr>
                <w:numId w:val="0"/>
              </w:numPr>
              <w:ind w:firstLine="640" w:firstLineChars="2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5.石球墩运输及摆放费用；</w:t>
            </w:r>
          </w:p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rPr>
          <w:trHeight w:val="4441" w:hRule="atLeast"/>
        </w:trPr>
        <w:tc>
          <w:tcPr>
            <w:tcW w:w="29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557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 w:val="0"/>
              <w:spacing w:before="0" w:after="0"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仿宋_GB2312" w:hAnsi="仿宋" w:eastAsia="仿宋_GB2312" w:cs="仿宋"/>
          <w:b/>
          <w:sz w:val="36"/>
          <w:szCs w:val="36"/>
          <w:lang w:val="en-US" w:eastAsia="zh-CN"/>
        </w:rPr>
      </w:pPr>
    </w:p>
    <w:p>
      <w:pPr>
        <w:tabs>
          <w:tab w:val="left" w:pos="622"/>
        </w:tabs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评分细则</w:t>
      </w: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53"/>
        <w:gridCol w:w="4004"/>
        <w:gridCol w:w="1575"/>
      </w:tblGrid>
      <w:tr>
        <w:trPr>
          <w:trHeight w:val="794" w:hRule="atLeast"/>
        </w:trPr>
        <w:tc>
          <w:tcPr>
            <w:tcW w:w="1590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评分项目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分值</w:t>
            </w:r>
          </w:p>
        </w:tc>
        <w:tc>
          <w:tcPr>
            <w:tcW w:w="4004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评分标准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得分</w:t>
            </w:r>
          </w:p>
        </w:tc>
      </w:tr>
      <w:tr>
        <w:trPr>
          <w:trHeight w:val="1725" w:hRule="atLeast"/>
        </w:trPr>
        <w:tc>
          <w:tcPr>
            <w:tcW w:w="1590" w:type="dxa"/>
            <w:vAlign w:val="center"/>
          </w:tcPr>
          <w:p>
            <w:pPr>
              <w:tabs>
                <w:tab w:val="left" w:pos="622"/>
              </w:tabs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比选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报价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622"/>
              </w:tabs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8"/>
                <w:szCs w:val="28"/>
              </w:rPr>
              <w:t>分</w:t>
            </w:r>
          </w:p>
        </w:tc>
        <w:tc>
          <w:tcPr>
            <w:tcW w:w="4004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1.最低报价为基准价，最低报价得满分。</w:t>
            </w:r>
          </w:p>
          <w:p>
            <w:pPr>
              <w:snapToGrid w:val="0"/>
              <w:spacing w:line="336" w:lineRule="auto"/>
              <w:rPr>
                <w:rFonts w:hint="eastAsia" w:ascii="仿宋_GB2312" w:hAnsi="仿宋_GB2312" w:eastAsia="仿宋_GB2312" w:cs="仿宋_GB2312"/>
                <w:color w:val="auto"/>
                <w:position w:val="-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2.其它报价得分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=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position w:val="-26"/>
                <w:sz w:val="28"/>
                <w:szCs w:val="28"/>
                <w:lang w:val="en-US" w:eastAsia="zh-CN" w:bidi="ar-SA"/>
              </w:rPr>
              <w:object>
                <v:shape id="_x0000_s1025" type="#_x0000_t75" style="height:33.55pt;width:75.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_x0000_s1025" DrawAspect="Content" ObjectID="_1025" r:id="rId5"/>
              </w:objec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3.超过9.6万元为无效报价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2305" w:hRule="atLeast"/>
        </w:trPr>
        <w:tc>
          <w:tcPr>
            <w:tcW w:w="1590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业绩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</w:t>
            </w:r>
          </w:p>
        </w:tc>
        <w:tc>
          <w:tcPr>
            <w:tcW w:w="4004" w:type="dxa"/>
            <w:vAlign w:val="center"/>
          </w:tcPr>
          <w:p>
            <w:pPr>
              <w:numPr>
                <w:numId w:val="0"/>
              </w:numPr>
              <w:tabs>
                <w:tab w:val="left" w:pos="622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合同金额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万元以上：每项5分（以提供合同或发票复印件加盖公章）为准，本项最高20分。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1800" w:hRule="atLeast"/>
        </w:trPr>
        <w:tc>
          <w:tcPr>
            <w:tcW w:w="1590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/>
              </w:rPr>
              <w:t>企业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资质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4004" w:type="dxa"/>
            <w:vAlign w:val="center"/>
          </w:tcPr>
          <w:p>
            <w:pPr>
              <w:numPr>
                <w:numId w:val="0"/>
              </w:numPr>
              <w:tabs>
                <w:tab w:val="left" w:pos="622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营业执照齐全得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分，没有得</w:t>
            </w:r>
          </w:p>
          <w:p>
            <w:pPr>
              <w:numPr>
                <w:numId w:val="0"/>
              </w:numPr>
              <w:tabs>
                <w:tab w:val="left" w:pos="622"/>
              </w:tabs>
              <w:spacing w:line="440" w:lineRule="exact"/>
              <w:jc w:val="both"/>
              <w:rPr>
                <w:rFonts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0分。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1465" w:hRule="atLeast"/>
        </w:trPr>
        <w:tc>
          <w:tcPr>
            <w:tcW w:w="1590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工程结算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4004" w:type="dxa"/>
            <w:vAlign w:val="center"/>
          </w:tcPr>
          <w:p>
            <w:pPr>
              <w:numPr>
                <w:numId w:val="0"/>
              </w:numPr>
              <w:tabs>
                <w:tab w:val="left" w:pos="622"/>
              </w:tabs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同意该工程项目完工经验收后</w:t>
            </w:r>
          </w:p>
          <w:p>
            <w:pPr>
              <w:numPr>
                <w:numId w:val="0"/>
              </w:numPr>
              <w:tabs>
                <w:tab w:val="left" w:pos="622"/>
              </w:tabs>
              <w:spacing w:line="440" w:lineRule="exact"/>
              <w:ind w:firstLine="280" w:firstLineChars="1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结算费用的得10分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590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合计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100分</w:t>
            </w:r>
          </w:p>
        </w:tc>
        <w:tc>
          <w:tcPr>
            <w:tcW w:w="4004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622"/>
        </w:tabs>
        <w:spacing w:line="560" w:lineRule="exact"/>
        <w:ind w:right="960" w:firstLine="8438" w:firstLineChars="3002"/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/>
        </w:rPr>
        <w:t xml:space="preserve"> 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Body Text"/>
    <w:basedOn w:val="1"/>
    <w:next w:val="3"/>
    <w:pPr>
      <w:ind w:left="730"/>
      <w:jc w:val="left"/>
    </w:pPr>
    <w:rPr>
      <w:rFonts w:ascii="宋体" w:hAnsi="宋体" w:cs="Times New Roman"/>
      <w:kern w:val="0"/>
      <w:sz w:val="23"/>
      <w:szCs w:val="23"/>
      <w:lang w:eastAsia="en-US"/>
    </w:rPr>
  </w:style>
  <w:style w:type="paragraph" w:styleId="3">
    <w:name w:val="toc 2"/>
    <w:basedOn w:val="1"/>
    <w:next w:val="1"/>
    <w:pPr>
      <w:spacing w:before="240"/>
      <w:jc w:val="left"/>
    </w:pPr>
    <w:rPr>
      <w:rFonts w:cs="Calibri"/>
      <w:b/>
      <w:bCs/>
      <w:sz w:val="20"/>
      <w:szCs w:val="20"/>
    </w:rPr>
  </w:style>
  <w:style w:type="paragraph" w:customStyle="1" w:styleId="5">
    <w:name w:val="Normal Indent"/>
    <w:basedOn w:val="1"/>
    <w:next w:val="2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oleObject" Target="embeddings/oleObject1.bin"/><Relationship Id="rId6" Type="http://schemas.openxmlformats.org/officeDocument/2006/relationships/image" Target="media/image1.wmf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2023-11-23T14:49:00Z</dcterms:created>
  <dc:creator>Administrator</dc:creator>
  <cp:lastPrinted>2023-11-29T15:33:00Z</cp:lastPrinted>
  <dcterms:modified xsi:type="dcterms:W3CDTF">2023-11-30T10:04:54Z</dcterms:modified>
  <dc:title>陽光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632D70E16FC642BF9687294BDD7EC97F_12</vt:lpwstr>
  </property>
</Properties>
</file>