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ascii="黑体" w:hAnsi="黑体" w:eastAsia="黑体" w:cs="仿宋"/>
          <w:sz w:val="32"/>
          <w:szCs w:val="32"/>
        </w:rPr>
      </w:pPr>
      <w:bookmarkStart w:id="1" w:name="_GoBack"/>
      <w:bookmarkEnd w:id="1"/>
      <w:r>
        <w:rPr>
          <w:rFonts w:hint="eastAsia" w:ascii="黑体" w:hAnsi="黑体" w:eastAsia="黑体" w:cs="仿宋"/>
          <w:sz w:val="32"/>
          <w:szCs w:val="32"/>
        </w:rPr>
        <w:t>附件1</w:t>
      </w:r>
    </w:p>
    <w:p>
      <w:pPr>
        <w:spacing w:line="560" w:lineRule="exact"/>
        <w:rPr>
          <w:rFonts w:ascii="仿宋_GB2312" w:hAnsi="仿宋" w:eastAsia="仿宋_GB2312" w:cs="仿宋"/>
          <w:b/>
          <w:sz w:val="36"/>
          <w:szCs w:val="36"/>
        </w:rPr>
      </w:pPr>
    </w:p>
    <w:p>
      <w:pPr>
        <w:spacing w:line="560" w:lineRule="exact"/>
        <w:jc w:val="center"/>
        <w:rPr>
          <w:rFonts w:ascii="仿宋_GB2312" w:hAnsi="仿宋" w:eastAsia="仿宋_GB2312" w:cs="仿宋"/>
          <w:b/>
          <w:sz w:val="36"/>
          <w:szCs w:val="36"/>
        </w:rPr>
      </w:pPr>
      <w:r>
        <w:rPr>
          <w:rFonts w:hint="eastAsia" w:ascii="仿宋_GB2312" w:hAnsi="仿宋" w:eastAsia="仿宋_GB2312" w:cs="仿宋"/>
          <w:b/>
          <w:sz w:val="36"/>
          <w:szCs w:val="36"/>
        </w:rPr>
        <w:t>服务报价单</w:t>
      </w:r>
    </w:p>
    <w:p>
      <w:pPr>
        <w:spacing w:line="560" w:lineRule="exact"/>
        <w:jc w:val="center"/>
        <w:rPr>
          <w:rFonts w:ascii="仿宋_GB2312" w:hAnsi="仿宋" w:eastAsia="仿宋_GB2312" w:cs="仿宋"/>
          <w:b/>
          <w:sz w:val="32"/>
          <w:szCs w:val="32"/>
        </w:rPr>
      </w:pPr>
    </w:p>
    <w:tbl>
      <w:tblPr>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34"/>
        <w:gridCol w:w="5549"/>
      </w:tblGrid>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仿宋_GB2312" w:eastAsia="仿宋_GB2312" w:cs="仿宋_GB2312"/>
                <w:sz w:val="32"/>
                <w:szCs w:val="32"/>
              </w:rPr>
              <w:t>许昌市城投发展集团有限公司关于市属保障房项目选聘第三方物业公司</w:t>
            </w:r>
          </w:p>
        </w:tc>
      </w:tr>
      <w:tr>
        <w:trPr>
          <w:trHeight w:val="1474" w:hRule="exact"/>
        </w:trPr>
        <w:tc>
          <w:tcPr>
            <w:tcW w:w="3134" w:type="dxa"/>
            <w:tcBorders>
              <w:top w:val="single" w:color="000000" w:sz="4" w:space="0"/>
              <w:left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比选申请人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C00000"/>
                <w:kern w:val="0"/>
                <w:sz w:val="32"/>
                <w:szCs w:val="32"/>
              </w:rPr>
            </w:pPr>
            <w:r>
              <w:rPr>
                <w:rFonts w:hint="eastAsia" w:ascii="仿宋_GB2312" w:hAnsi="宋体" w:eastAsia="仿宋_GB2312" w:cs="仿宋_GB2312"/>
                <w:b/>
                <w:color w:val="auto"/>
                <w:kern w:val="0"/>
                <w:sz w:val="32"/>
                <w:szCs w:val="32"/>
              </w:rPr>
              <w:t>比选申请人资质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C00000"/>
                <w:sz w:val="32"/>
                <w:szCs w:val="32"/>
              </w:rPr>
            </w:pP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仿宋_GB2312" w:hAnsi="宋体" w:eastAsia="仿宋_GB2312" w:cs="仿宋_GB2312"/>
                <w:b/>
                <w:color w:val="000000"/>
                <w:sz w:val="32"/>
                <w:szCs w:val="32"/>
                <w:lang w:val="en-US" w:eastAsia="zh-CN"/>
              </w:rPr>
            </w:pPr>
          </w:p>
        </w:tc>
      </w:tr>
      <w:tr>
        <w:trPr>
          <w:trHeight w:val="172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p>
            <w:pPr>
              <w:widowControl/>
              <w:spacing w:line="560" w:lineRule="exact"/>
              <w:jc w:val="center"/>
              <w:textAlignment w:val="center"/>
              <w:rPr>
                <w:rFonts w:hint="eastAsia" w:ascii="仿宋_GB2312" w:hAnsi="宋体" w:eastAsia="仿宋_GB2312" w:cs="仿宋_GB2312"/>
                <w:b/>
                <w:color w:val="000000"/>
                <w:kern w:val="0"/>
                <w:sz w:val="32"/>
                <w:szCs w:val="32"/>
                <w:lang w:eastAsia="zh-CN"/>
              </w:rPr>
            </w:pPr>
            <w:r>
              <w:rPr>
                <w:rFonts w:hint="eastAsia" w:ascii="仿宋_GB2312" w:hAnsi="宋体" w:eastAsia="仿宋_GB2312" w:cs="仿宋_GB2312"/>
                <w:b/>
                <w:color w:val="000000"/>
                <w:kern w:val="0"/>
                <w:sz w:val="32"/>
                <w:szCs w:val="32"/>
                <w:lang w:eastAsia="zh-CN"/>
              </w:rPr>
              <w:t>（</w:t>
            </w:r>
            <w:r>
              <w:rPr>
                <w:rFonts w:hint="eastAsia" w:ascii="仿宋_GB2312" w:hAnsi="宋体" w:eastAsia="仿宋_GB2312" w:cs="仿宋_GB2312"/>
                <w:b/>
                <w:color w:val="000000"/>
                <w:kern w:val="0"/>
                <w:sz w:val="32"/>
                <w:szCs w:val="32"/>
                <w:lang w:val="en-US" w:eastAsia="zh-CN"/>
              </w:rPr>
              <w:t>最高限价35万元</w:t>
            </w:r>
            <w:r>
              <w:rPr>
                <w:rFonts w:hint="eastAsia" w:ascii="仿宋_GB2312" w:hAnsi="宋体" w:eastAsia="仿宋_GB2312" w:cs="仿宋_GB2312"/>
                <w:b/>
                <w:color w:val="000000"/>
                <w:kern w:val="0"/>
                <w:sz w:val="32"/>
                <w:szCs w:val="32"/>
                <w:lang w:eastAsia="zh-CN"/>
              </w:rPr>
              <w:t>）</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 xml:space="preserve">          金额（元）</w:t>
            </w:r>
          </w:p>
        </w:tc>
      </w:tr>
      <w:tr>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仿宋_GB2312" w:hAnsi="宋体" w:eastAsia="仿宋_GB2312" w:cs="仿宋_GB2312"/>
                <w:b/>
                <w:color w:val="000000"/>
                <w:kern w:val="0"/>
                <w:sz w:val="32"/>
                <w:szCs w:val="32"/>
              </w:rPr>
            </w:pPr>
            <w:bookmarkStart w:id="0" w:name="OLE_LINK1"/>
            <w:r>
              <w:rPr>
                <w:rFonts w:hint="eastAsia" w:ascii="仿宋_GB2312" w:hAnsi="宋体" w:eastAsia="仿宋_GB2312" w:cs="仿宋_GB2312"/>
                <w:b/>
                <w:color w:val="000000"/>
                <w:kern w:val="0"/>
                <w:sz w:val="32"/>
                <w:szCs w:val="32"/>
                <w:lang w:val="en-US" w:eastAsia="zh-CN"/>
              </w:rPr>
              <w:t>服务</w:t>
            </w:r>
            <w:r>
              <w:rPr>
                <w:rFonts w:hint="eastAsia" w:ascii="仿宋_GB2312" w:hAnsi="宋体" w:eastAsia="仿宋_GB2312" w:cs="仿宋_GB2312"/>
                <w:b/>
                <w:color w:val="000000"/>
                <w:kern w:val="0"/>
                <w:sz w:val="32"/>
                <w:szCs w:val="32"/>
              </w:rPr>
              <w:t>期限</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仿宋_GB2312" w:hAnsi="宋体" w:eastAsia="仿宋_GB2312" w:cs="仿宋_GB2312"/>
                <w:b/>
                <w:color w:val="000000"/>
                <w:kern w:val="0"/>
                <w:sz w:val="32"/>
                <w:szCs w:val="32"/>
                <w:lang w:eastAsia="zh-CN"/>
              </w:rPr>
            </w:pPr>
            <w:r>
              <w:rPr>
                <w:rFonts w:hint="eastAsia" w:ascii="仿宋_GB2312" w:hAnsi="宋体" w:eastAsia="仿宋_GB2312" w:cs="仿宋_GB2312"/>
                <w:b/>
                <w:color w:val="000000"/>
                <w:kern w:val="0"/>
                <w:sz w:val="32"/>
                <w:szCs w:val="32"/>
                <w:lang w:val="en-US" w:eastAsia="zh-CN"/>
              </w:rPr>
              <w:t xml:space="preserve">   三个月</w:t>
            </w:r>
          </w:p>
        </w:tc>
      </w:tr>
    </w:tbl>
    <w:p>
      <w:pPr>
        <w:spacing w:line="560" w:lineRule="exact"/>
        <w:rPr>
          <w:rFonts w:ascii="仿宋_GB2312" w:eastAsia="仿宋_GB2312"/>
          <w:sz w:val="32"/>
          <w:szCs w:val="32"/>
        </w:rPr>
      </w:pPr>
    </w:p>
    <w:p>
      <w:pPr>
        <w:widowControl/>
        <w:jc w:val="left"/>
        <w:rPr>
          <w:rFonts w:hint="eastAsia" w:ascii="宋体" w:hAnsi="宋体" w:cs="宋体"/>
          <w:b/>
          <w:color w:val="000000"/>
          <w:kern w:val="0"/>
          <w:sz w:val="28"/>
          <w:szCs w:val="28"/>
        </w:rPr>
      </w:pPr>
      <w:r>
        <w:rPr>
          <w:rFonts w:ascii="仿宋_GB2312" w:eastAsia="仿宋_GB2312"/>
          <w:sz w:val="32"/>
          <w:szCs w:val="32"/>
        </w:rPr>
        <w:br w:type="page"/>
      </w:r>
    </w:p>
    <w:p/>
    <w:p>
      <w:pPr>
        <w:widowControl/>
        <w:jc w:val="center"/>
        <w:rPr>
          <w:rFonts w:hint="eastAsia" w:ascii="宋体" w:hAnsi="宋体" w:eastAsia="仿宋_GB2312" w:cs="宋体"/>
          <w:b/>
          <w:bCs/>
          <w:color w:val="000000"/>
          <w:kern w:val="0"/>
          <w:sz w:val="28"/>
          <w:szCs w:val="28"/>
          <w:lang w:eastAsia="zh-CN"/>
        </w:rPr>
      </w:pPr>
      <w:r>
        <w:rPr>
          <w:rFonts w:hint="eastAsia" w:ascii="仿宋_GB2312" w:eastAsia="仿宋_GB2312"/>
          <w:b/>
          <w:bCs/>
          <w:sz w:val="32"/>
          <w:szCs w:val="32"/>
          <w:lang w:eastAsia="zh-CN"/>
        </w:rPr>
        <w:t>评分细则</w:t>
      </w:r>
    </w:p>
    <w:tbl>
      <w:tblPr>
        <w:tblW w:w="9495"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490"/>
        <w:gridCol w:w="6795"/>
      </w:tblGrid>
      <w:tr>
        <w:trPr>
          <w:trHeight w:val="1105" w:hRule="exact"/>
        </w:trPr>
        <w:tc>
          <w:tcPr>
            <w:tcW w:w="1210" w:type="dxa"/>
            <w:tcMar>
              <w:top w:w="0" w:type="dxa"/>
              <w:left w:w="0" w:type="dxa"/>
              <w:bottom w:w="0" w:type="dxa"/>
              <w:right w:w="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分值构成（总分100分）</w:t>
            </w:r>
          </w:p>
        </w:tc>
        <w:tc>
          <w:tcPr>
            <w:tcW w:w="8285" w:type="dxa"/>
            <w:gridSpan w:val="2"/>
            <w:vAlign w:val="center"/>
          </w:tcPr>
          <w:p>
            <w:pPr>
              <w:jc w:val="center"/>
              <w:rPr>
                <w:rFonts w:hint="eastAsia" w:ascii="仿宋_GB2312" w:hAnsi="仿宋_GB2312" w:eastAsia="仿宋_GB2312" w:cs="仿宋_GB2312"/>
                <w:b/>
                <w:bCs/>
                <w:sz w:val="21"/>
                <w:szCs w:val="21"/>
                <w:u w:val="single"/>
              </w:rPr>
            </w:pPr>
            <w:r>
              <w:rPr>
                <w:rFonts w:hint="eastAsia" w:ascii="仿宋_GB2312" w:hAnsi="仿宋_GB2312" w:eastAsia="仿宋_GB2312" w:cs="仿宋_GB2312"/>
                <w:b/>
                <w:bCs/>
                <w:sz w:val="21"/>
                <w:szCs w:val="21"/>
                <w:u w:val="single"/>
              </w:rPr>
              <w:t>磋商报价：</w:t>
            </w:r>
            <w:r>
              <w:rPr>
                <w:rFonts w:hint="eastAsia" w:ascii="仿宋_GB2312" w:hAnsi="仿宋_GB2312" w:eastAsia="仿宋_GB2312" w:cs="仿宋_GB2312"/>
                <w:b/>
                <w:bCs/>
                <w:sz w:val="21"/>
                <w:szCs w:val="21"/>
                <w:u w:val="single"/>
                <w:lang w:val="en-US" w:eastAsia="zh-CN"/>
              </w:rPr>
              <w:t>50</w:t>
            </w:r>
            <w:r>
              <w:rPr>
                <w:rFonts w:hint="eastAsia" w:ascii="仿宋_GB2312" w:hAnsi="仿宋_GB2312" w:eastAsia="仿宋_GB2312" w:cs="仿宋_GB2312"/>
                <w:b/>
                <w:bCs/>
                <w:sz w:val="21"/>
                <w:szCs w:val="21"/>
                <w:u w:val="single"/>
              </w:rPr>
              <w:t>分</w:t>
            </w:r>
          </w:p>
          <w:p>
            <w:pPr>
              <w:jc w:val="center"/>
              <w:rPr>
                <w:rFonts w:hint="eastAsia" w:ascii="仿宋_GB2312" w:hAnsi="仿宋_GB2312" w:eastAsia="仿宋_GB2312" w:cs="仿宋_GB2312"/>
                <w:b/>
                <w:bCs/>
                <w:sz w:val="21"/>
                <w:szCs w:val="21"/>
                <w:u w:val="single"/>
              </w:rPr>
            </w:pPr>
            <w:r>
              <w:rPr>
                <w:rFonts w:hint="eastAsia" w:ascii="仿宋_GB2312" w:hAnsi="仿宋_GB2312" w:eastAsia="仿宋_GB2312" w:cs="仿宋_GB2312"/>
                <w:b/>
                <w:bCs/>
                <w:sz w:val="21"/>
                <w:szCs w:val="21"/>
                <w:u w:val="single"/>
              </w:rPr>
              <w:t>商务部分：</w:t>
            </w:r>
            <w:r>
              <w:rPr>
                <w:rFonts w:hint="eastAsia" w:ascii="仿宋_GB2312" w:hAnsi="仿宋_GB2312" w:eastAsia="仿宋_GB2312" w:cs="仿宋_GB2312"/>
                <w:b/>
                <w:bCs/>
                <w:sz w:val="21"/>
                <w:szCs w:val="21"/>
                <w:u w:val="single"/>
                <w:lang w:val="en-US" w:eastAsia="zh-CN"/>
              </w:rPr>
              <w:t>30</w:t>
            </w:r>
            <w:r>
              <w:rPr>
                <w:rFonts w:hint="eastAsia" w:ascii="仿宋_GB2312" w:hAnsi="仿宋_GB2312" w:eastAsia="仿宋_GB2312" w:cs="仿宋_GB2312"/>
                <w:b/>
                <w:bCs/>
                <w:sz w:val="21"/>
                <w:szCs w:val="21"/>
                <w:u w:val="single"/>
              </w:rPr>
              <w:t>分</w:t>
            </w:r>
          </w:p>
          <w:p>
            <w:pPr>
              <w:jc w:val="center"/>
              <w:rPr>
                <w:rFonts w:hint="eastAsia" w:ascii="仿宋_GB2312" w:hAnsi="仿宋_GB2312" w:eastAsia="仿宋_GB2312" w:cs="仿宋_GB2312"/>
                <w:b/>
                <w:bCs/>
                <w:sz w:val="21"/>
                <w:szCs w:val="21"/>
                <w:u w:val="single"/>
              </w:rPr>
            </w:pPr>
            <w:r>
              <w:rPr>
                <w:rFonts w:hint="eastAsia" w:ascii="仿宋_GB2312" w:hAnsi="仿宋_GB2312" w:eastAsia="仿宋_GB2312" w:cs="仿宋_GB2312"/>
                <w:b/>
                <w:bCs/>
                <w:sz w:val="21"/>
                <w:szCs w:val="21"/>
                <w:u w:val="single"/>
              </w:rPr>
              <w:t>技术部分：</w:t>
            </w:r>
            <w:r>
              <w:rPr>
                <w:rFonts w:hint="eastAsia" w:ascii="仿宋_GB2312" w:hAnsi="仿宋_GB2312" w:eastAsia="仿宋_GB2312" w:cs="仿宋_GB2312"/>
                <w:b/>
                <w:bCs/>
                <w:sz w:val="21"/>
                <w:szCs w:val="21"/>
                <w:u w:val="single"/>
                <w:lang w:val="en-US" w:eastAsia="zh-CN"/>
              </w:rPr>
              <w:t>20</w:t>
            </w:r>
            <w:r>
              <w:rPr>
                <w:rFonts w:hint="eastAsia" w:ascii="仿宋_GB2312" w:hAnsi="仿宋_GB2312" w:eastAsia="仿宋_GB2312" w:cs="仿宋_GB2312"/>
                <w:b/>
                <w:bCs/>
                <w:sz w:val="21"/>
                <w:szCs w:val="21"/>
                <w:u w:val="single"/>
              </w:rPr>
              <w:t>分</w:t>
            </w:r>
          </w:p>
          <w:p>
            <w:pPr>
              <w:jc w:val="center"/>
              <w:rPr>
                <w:rFonts w:hint="eastAsia" w:ascii="仿宋_GB2312" w:hAnsi="仿宋_GB2312" w:eastAsia="仿宋_GB2312" w:cs="仿宋_GB2312"/>
                <w:b/>
                <w:bCs/>
                <w:sz w:val="21"/>
                <w:szCs w:val="21"/>
              </w:rPr>
            </w:pPr>
          </w:p>
        </w:tc>
      </w:tr>
      <w:tr>
        <w:trPr>
          <w:trHeight w:val="440" w:hRule="exact"/>
        </w:trPr>
        <w:tc>
          <w:tcPr>
            <w:tcW w:w="12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评审项</w:t>
            </w:r>
          </w:p>
        </w:tc>
        <w:tc>
          <w:tcPr>
            <w:tcW w:w="149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评分因素</w:t>
            </w:r>
          </w:p>
        </w:tc>
        <w:tc>
          <w:tcPr>
            <w:tcW w:w="6795"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评标标准</w:t>
            </w:r>
          </w:p>
        </w:tc>
      </w:tr>
      <w:tr>
        <w:trPr>
          <w:trHeight w:val="1711" w:hRule="exact"/>
        </w:trPr>
        <w:tc>
          <w:tcPr>
            <w:tcW w:w="12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价格部分（</w:t>
            </w:r>
            <w:r>
              <w:rPr>
                <w:rFonts w:hint="eastAsia" w:ascii="仿宋_GB2312" w:hAnsi="仿宋_GB2312" w:eastAsia="仿宋_GB2312" w:cs="仿宋_GB2312"/>
                <w:sz w:val="21"/>
                <w:szCs w:val="21"/>
                <w:lang w:val="en-US" w:eastAsia="zh-CN"/>
              </w:rPr>
              <w:t>50</w:t>
            </w:r>
            <w:r>
              <w:rPr>
                <w:rFonts w:hint="eastAsia" w:ascii="仿宋_GB2312" w:hAnsi="仿宋_GB2312" w:eastAsia="仿宋_GB2312" w:cs="仿宋_GB2312"/>
                <w:sz w:val="21"/>
                <w:szCs w:val="21"/>
              </w:rPr>
              <w:t>分）</w:t>
            </w:r>
          </w:p>
        </w:tc>
        <w:tc>
          <w:tcPr>
            <w:tcW w:w="1490" w:type="dxa"/>
            <w:vAlign w:val="center"/>
          </w:tcPr>
          <w:p>
            <w:pPr>
              <w:jc w:val="center"/>
              <w:rPr>
                <w:rFonts w:hint="eastAsia" w:ascii="仿宋_GB2312" w:hAnsi="仿宋_GB2312" w:eastAsia="仿宋_GB2312" w:cs="仿宋_GB2312"/>
                <w:spacing w:val="7"/>
                <w:sz w:val="21"/>
                <w:szCs w:val="21"/>
                <w:lang w:bidi="zh-CN"/>
              </w:rPr>
            </w:pPr>
            <w:r>
              <w:rPr>
                <w:rFonts w:hint="eastAsia" w:ascii="仿宋_GB2312" w:hAnsi="仿宋_GB2312" w:eastAsia="仿宋_GB2312" w:cs="仿宋_GB2312"/>
                <w:spacing w:val="7"/>
                <w:sz w:val="21"/>
                <w:szCs w:val="21"/>
                <w:lang w:bidi="zh-CN"/>
              </w:rPr>
              <w:t>磋商报价</w:t>
            </w:r>
          </w:p>
          <w:p>
            <w:pPr>
              <w:jc w:val="center"/>
              <w:rPr>
                <w:rFonts w:hint="eastAsia" w:ascii="仿宋_GB2312" w:hAnsi="仿宋_GB2312" w:eastAsia="仿宋_GB2312" w:cs="仿宋_GB2312"/>
                <w:spacing w:val="7"/>
                <w:sz w:val="21"/>
                <w:szCs w:val="21"/>
                <w:lang w:bidi="zh-CN"/>
              </w:rPr>
            </w:pPr>
            <w:r>
              <w:rPr>
                <w:rFonts w:hint="eastAsia" w:ascii="仿宋_GB2312" w:hAnsi="仿宋_GB2312" w:eastAsia="仿宋_GB2312" w:cs="仿宋_GB2312"/>
                <w:spacing w:val="7"/>
                <w:sz w:val="21"/>
                <w:szCs w:val="21"/>
                <w:lang w:bidi="zh-CN"/>
              </w:rPr>
              <w:t>（</w:t>
            </w:r>
            <w:r>
              <w:rPr>
                <w:rFonts w:hint="eastAsia" w:ascii="仿宋_GB2312" w:hAnsi="仿宋_GB2312" w:eastAsia="仿宋_GB2312" w:cs="仿宋_GB2312"/>
                <w:spacing w:val="7"/>
                <w:sz w:val="21"/>
                <w:szCs w:val="21"/>
                <w:lang w:val="en-US" w:bidi="zh-CN"/>
              </w:rPr>
              <w:t>50</w:t>
            </w:r>
            <w:r>
              <w:rPr>
                <w:rFonts w:hint="eastAsia" w:ascii="仿宋_GB2312" w:hAnsi="仿宋_GB2312" w:eastAsia="仿宋_GB2312" w:cs="仿宋_GB2312"/>
                <w:spacing w:val="7"/>
                <w:sz w:val="21"/>
                <w:szCs w:val="21"/>
                <w:lang w:bidi="zh-CN"/>
              </w:rPr>
              <w:t>分）</w:t>
            </w:r>
          </w:p>
        </w:tc>
        <w:tc>
          <w:tcPr>
            <w:tcW w:w="6795"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以满足磋商文件要求且最后报价最低的供应商的最后磋商价格作为磋商基准价。</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磋商报价得分=（磋商基准价/供应商的最后磋商报价）×</w:t>
            </w:r>
            <w:r>
              <w:rPr>
                <w:rFonts w:hint="eastAsia" w:ascii="仿宋_GB2312" w:hAnsi="仿宋_GB2312" w:eastAsia="仿宋_GB2312" w:cs="仿宋_GB2312"/>
                <w:sz w:val="21"/>
                <w:szCs w:val="21"/>
                <w:lang w:val="en-US" w:eastAsia="zh-CN"/>
              </w:rPr>
              <w:t>50</w:t>
            </w: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tc>
      </w:tr>
      <w:tr>
        <w:trPr>
          <w:trHeight w:val="869" w:hRule="atLeast"/>
        </w:trPr>
        <w:tc>
          <w:tcPr>
            <w:tcW w:w="1210" w:type="dxa"/>
            <w:vMerge w:val="restart"/>
            <w:vAlign w:val="center"/>
          </w:tcPr>
          <w:p>
            <w:pPr>
              <w:jc w:val="center"/>
              <w:rPr>
                <w:rFonts w:hint="eastAsia" w:ascii="仿宋_GB2312" w:hAnsi="仿宋_GB2312" w:eastAsia="仿宋_GB2312" w:cs="仿宋_GB2312"/>
                <w:spacing w:val="1"/>
                <w:kern w:val="0"/>
                <w:sz w:val="21"/>
                <w:szCs w:val="21"/>
              </w:rPr>
            </w:pPr>
            <w:r>
              <w:rPr>
                <w:rFonts w:hint="eastAsia" w:ascii="仿宋_GB2312" w:hAnsi="仿宋_GB2312" w:eastAsia="仿宋_GB2312" w:cs="仿宋_GB2312"/>
                <w:spacing w:val="1"/>
                <w:kern w:val="0"/>
                <w:sz w:val="21"/>
                <w:szCs w:val="21"/>
              </w:rPr>
              <w:t>商务部分（</w:t>
            </w:r>
            <w:r>
              <w:rPr>
                <w:rFonts w:hint="eastAsia" w:ascii="仿宋_GB2312" w:hAnsi="仿宋_GB2312" w:eastAsia="仿宋_GB2312" w:cs="仿宋_GB2312"/>
                <w:spacing w:val="1"/>
                <w:kern w:val="0"/>
                <w:sz w:val="21"/>
                <w:szCs w:val="21"/>
                <w:lang w:val="en-US" w:eastAsia="zh-CN"/>
              </w:rPr>
              <w:t>30</w:t>
            </w:r>
            <w:r>
              <w:rPr>
                <w:rFonts w:hint="eastAsia" w:ascii="仿宋_GB2312" w:hAnsi="仿宋_GB2312" w:eastAsia="仿宋_GB2312" w:cs="仿宋_GB2312"/>
                <w:spacing w:val="1"/>
                <w:kern w:val="0"/>
                <w:sz w:val="21"/>
                <w:szCs w:val="21"/>
              </w:rPr>
              <w:t>分）</w:t>
            </w:r>
          </w:p>
        </w:tc>
        <w:tc>
          <w:tcPr>
            <w:tcW w:w="1490" w:type="dxa"/>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业绩</w:t>
            </w:r>
          </w:p>
          <w:p>
            <w:pPr>
              <w:jc w:val="center"/>
              <w:rPr>
                <w:rFonts w:hint="eastAsia" w:ascii="仿宋_GB2312" w:hAnsi="仿宋_GB2312" w:eastAsia="仿宋_GB2312" w:cs="仿宋_GB2312"/>
                <w:spacing w:val="7"/>
                <w:sz w:val="21"/>
                <w:szCs w:val="21"/>
                <w:lang w:bidi="zh-CN"/>
              </w:rPr>
            </w:pPr>
            <w:r>
              <w:rPr>
                <w:rFonts w:hint="eastAsia" w:ascii="仿宋_GB2312" w:hAnsi="仿宋_GB2312" w:eastAsia="仿宋_GB2312" w:cs="仿宋_GB2312"/>
                <w:color w:val="000000"/>
                <w:sz w:val="21"/>
                <w:szCs w:val="21"/>
                <w:lang w:val="en-US" w:eastAsia="zh-CN"/>
              </w:rPr>
              <w:t>（15分）</w:t>
            </w:r>
          </w:p>
        </w:tc>
        <w:tc>
          <w:tcPr>
            <w:tcW w:w="6795" w:type="dxa"/>
            <w:vAlign w:val="center"/>
          </w:tcPr>
          <w:p>
            <w:pP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zh-CN"/>
              </w:rPr>
              <w:t>自2020年</w:t>
            </w:r>
            <w:r>
              <w:rPr>
                <w:rFonts w:hint="eastAsia" w:ascii="仿宋_GB2312" w:hAnsi="仿宋_GB2312" w:eastAsia="仿宋_GB2312" w:cs="仿宋_GB2312"/>
                <w:color w:val="000000"/>
                <w:sz w:val="21"/>
                <w:szCs w:val="21"/>
              </w:rPr>
              <w:t>1</w:t>
            </w:r>
            <w:r>
              <w:rPr>
                <w:rFonts w:hint="eastAsia" w:ascii="仿宋_GB2312" w:hAnsi="仿宋_GB2312" w:eastAsia="仿宋_GB2312" w:cs="仿宋_GB2312"/>
                <w:color w:val="000000"/>
                <w:sz w:val="21"/>
                <w:szCs w:val="21"/>
                <w:lang w:val="zh-CN"/>
              </w:rPr>
              <w:t>月1日起至今，具有类似项目业绩者（需提供合同和中标通知书）得</w:t>
            </w:r>
            <w:r>
              <w:rPr>
                <w:rFonts w:hint="eastAsia" w:ascii="仿宋_GB2312" w:hAnsi="仿宋_GB2312" w:eastAsia="仿宋_GB2312" w:cs="仿宋_GB2312"/>
                <w:color w:val="000000"/>
                <w:sz w:val="21"/>
                <w:szCs w:val="21"/>
                <w:lang w:val="en-US" w:eastAsia="zh-CN"/>
              </w:rPr>
              <w:t>15分。</w:t>
            </w:r>
          </w:p>
        </w:tc>
      </w:tr>
      <w:tr>
        <w:trPr>
          <w:trHeight w:val="1763" w:hRule="atLeast"/>
        </w:trPr>
        <w:tc>
          <w:tcPr>
            <w:tcW w:w="1210" w:type="dxa"/>
            <w:vMerge w:val="continue"/>
            <w:vAlign w:val="center"/>
          </w:tcPr>
          <w:p>
            <w:pPr>
              <w:jc w:val="center"/>
              <w:rPr>
                <w:rFonts w:hint="eastAsia" w:ascii="仿宋_GB2312" w:hAnsi="仿宋_GB2312" w:eastAsia="仿宋_GB2312" w:cs="仿宋_GB2312"/>
                <w:spacing w:val="1"/>
                <w:kern w:val="0"/>
                <w:sz w:val="21"/>
                <w:szCs w:val="21"/>
              </w:rPr>
            </w:pPr>
          </w:p>
        </w:tc>
        <w:tc>
          <w:tcPr>
            <w:tcW w:w="1490" w:type="dxa"/>
            <w:vAlign w:val="center"/>
          </w:tcPr>
          <w:p>
            <w:pPr>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信誉</w:t>
            </w:r>
          </w:p>
          <w:p>
            <w:pPr>
              <w:jc w:val="center"/>
              <w:rPr>
                <w:rFonts w:hint="eastAsia" w:ascii="仿宋_GB2312" w:hAnsi="仿宋_GB2312" w:eastAsia="仿宋_GB2312" w:cs="仿宋_GB2312"/>
                <w:spacing w:val="7"/>
                <w:sz w:val="21"/>
                <w:szCs w:val="21"/>
                <w:lang w:bidi="zh-CN"/>
              </w:rPr>
            </w:pP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15分</w:t>
            </w:r>
            <w:r>
              <w:rPr>
                <w:rFonts w:hint="eastAsia" w:ascii="仿宋_GB2312" w:hAnsi="仿宋_GB2312" w:eastAsia="仿宋_GB2312" w:cs="仿宋_GB2312"/>
                <w:color w:val="000000"/>
                <w:sz w:val="21"/>
                <w:szCs w:val="21"/>
                <w:lang w:eastAsia="zh-CN"/>
              </w:rPr>
              <w:t>）</w:t>
            </w:r>
          </w:p>
        </w:tc>
        <w:tc>
          <w:tcPr>
            <w:tcW w:w="6795" w:type="dxa"/>
            <w:vAlign w:val="center"/>
          </w:tcPr>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1.投标人负责过的物业管理项目获得住建部门授予的优秀（示范）项目，一个得</w:t>
            </w: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分，本项最高得</w:t>
            </w:r>
            <w:r>
              <w:rPr>
                <w:rFonts w:hint="eastAsia" w:ascii="仿宋_GB2312" w:hAnsi="仿宋_GB2312" w:eastAsia="仿宋_GB2312" w:cs="仿宋_GB2312"/>
                <w:color w:val="000000"/>
                <w:sz w:val="21"/>
                <w:szCs w:val="21"/>
                <w:lang w:val="en-US" w:eastAsia="zh-CN"/>
              </w:rPr>
              <w:t>12</w:t>
            </w:r>
            <w:r>
              <w:rPr>
                <w:rFonts w:hint="eastAsia" w:ascii="仿宋_GB2312" w:hAnsi="仿宋_GB2312" w:eastAsia="仿宋_GB2312" w:cs="仿宋_GB2312"/>
                <w:color w:val="000000"/>
                <w:sz w:val="21"/>
                <w:szCs w:val="21"/>
              </w:rPr>
              <w:t>分，不提供不得分。</w:t>
            </w:r>
          </w:p>
          <w:p>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2.投标人荣获省级（含省级）以上服务业标准化试点单位荣誉者得</w:t>
            </w: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分，不提供不得分。（提供相关证明复印件，未提供或缺项不得分）</w:t>
            </w:r>
          </w:p>
        </w:tc>
      </w:tr>
      <w:tr>
        <w:trPr>
          <w:trHeight w:val="3953" w:hRule="atLeast"/>
        </w:trPr>
        <w:tc>
          <w:tcPr>
            <w:tcW w:w="1210" w:type="dxa"/>
            <w:vAlign w:val="center"/>
          </w:tcPr>
          <w:p>
            <w:pPr>
              <w:spacing w:line="276"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服务方案</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val="en-US" w:eastAsia="zh-CN"/>
              </w:rPr>
              <w:t>20</w:t>
            </w:r>
            <w:r>
              <w:rPr>
                <w:rFonts w:hint="eastAsia" w:ascii="仿宋_GB2312" w:hAnsi="仿宋_GB2312" w:eastAsia="仿宋_GB2312" w:cs="仿宋_GB2312"/>
                <w:color w:val="000000"/>
                <w:sz w:val="21"/>
                <w:szCs w:val="21"/>
              </w:rPr>
              <w:t>分）</w:t>
            </w:r>
          </w:p>
        </w:tc>
        <w:tc>
          <w:tcPr>
            <w:tcW w:w="1490" w:type="dxa"/>
            <w:vAlign w:val="center"/>
          </w:tcPr>
          <w:p>
            <w:pPr>
              <w:spacing w:line="276"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服务方案</w:t>
            </w:r>
          </w:p>
          <w:p>
            <w:pPr>
              <w:spacing w:line="276"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（20</w:t>
            </w:r>
            <w:r>
              <w:rPr>
                <w:rFonts w:hint="eastAsia" w:ascii="仿宋_GB2312" w:hAnsi="仿宋_GB2312" w:eastAsia="仿宋_GB2312" w:cs="仿宋_GB2312"/>
                <w:color w:val="000000"/>
                <w:sz w:val="21"/>
                <w:szCs w:val="21"/>
                <w:lang w:val="en-US"/>
              </w:rPr>
              <w:t>分</w:t>
            </w:r>
            <w:r>
              <w:rPr>
                <w:rFonts w:hint="eastAsia" w:ascii="仿宋_GB2312" w:hAnsi="仿宋_GB2312" w:eastAsia="仿宋_GB2312" w:cs="仿宋_GB2312"/>
                <w:color w:val="000000"/>
                <w:sz w:val="21"/>
                <w:szCs w:val="21"/>
              </w:rPr>
              <w:t>）</w:t>
            </w:r>
          </w:p>
        </w:tc>
        <w:tc>
          <w:tcPr>
            <w:tcW w:w="6795" w:type="dxa"/>
            <w:vAlign w:val="center"/>
          </w:tcPr>
          <w:p>
            <w:pPr>
              <w:spacing w:line="276"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1.对项目任务目标理解、整体方案、可操作性描述：有非常深入理解及认识分析，且熟悉程度强的，得</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分；</w:t>
            </w:r>
          </w:p>
          <w:p>
            <w:pPr>
              <w:spacing w:line="276"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2.能提供详细、完整、全面的具体工作实施方案描述：有非常深入理解和制定，且操作实施及使用全面清晰的，得</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分；</w:t>
            </w:r>
          </w:p>
          <w:p>
            <w:pPr>
              <w:spacing w:line="276"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3.结合招标人实际特点，能够制定合理、可行的应急预案及保密措施内容描述：有非常深入认识分析和措施，且规范程度很强的，得</w:t>
            </w: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分；</w:t>
            </w:r>
          </w:p>
          <w:p>
            <w:pPr>
              <w:spacing w:line="276" w:lineRule="auto"/>
              <w:rPr>
                <w:rFonts w:hint="eastAsia" w:eastAsia="仿宋_GB2312"/>
                <w:lang w:val="en-US" w:eastAsia="zh-CN"/>
              </w:rPr>
            </w:pPr>
            <w:r>
              <w:rPr>
                <w:rFonts w:hint="eastAsia" w:ascii="仿宋_GB2312" w:hAnsi="仿宋_GB2312" w:eastAsia="仿宋_GB2312" w:cs="仿宋_GB2312"/>
                <w:color w:val="000000"/>
                <w:sz w:val="21"/>
                <w:szCs w:val="21"/>
                <w:shd w:val="clear" w:color="auto" w:fill="auto"/>
                <w:lang w:val="en-US" w:eastAsia="zh-CN"/>
              </w:rPr>
              <w:t>4</w:t>
            </w:r>
            <w:r>
              <w:rPr>
                <w:rFonts w:hint="eastAsia" w:ascii="仿宋_GB2312" w:hAnsi="仿宋_GB2312" w:eastAsia="仿宋_GB2312" w:cs="仿宋_GB2312"/>
                <w:color w:val="000000"/>
                <w:sz w:val="21"/>
                <w:szCs w:val="21"/>
                <w:shd w:val="clear" w:color="auto" w:fill="auto"/>
              </w:rPr>
              <w:t>.团队配置和职责分工描述：岗位配置合理，投入服务人员有明确的岗位</w:t>
            </w:r>
            <w:r>
              <w:rPr>
                <w:rFonts w:hint="eastAsia" w:ascii="仿宋_GB2312" w:hAnsi="仿宋_GB2312" w:eastAsia="仿宋_GB2312" w:cs="仿宋_GB2312"/>
                <w:color w:val="000000"/>
                <w:sz w:val="21"/>
                <w:szCs w:val="21"/>
                <w:shd w:val="clear" w:color="auto" w:fill="auto"/>
                <w:lang w:eastAsia="zh-CN"/>
              </w:rPr>
              <w:t>。</w:t>
            </w:r>
            <w:r>
              <w:rPr>
                <w:rFonts w:hint="eastAsia" w:ascii="仿宋_GB2312" w:hAnsi="仿宋_GB2312" w:eastAsia="仿宋_GB2312" w:cs="仿宋_GB2312"/>
                <w:color w:val="000000"/>
                <w:sz w:val="21"/>
                <w:szCs w:val="21"/>
                <w:shd w:val="clear" w:color="auto" w:fill="auto"/>
              </w:rPr>
              <w:t>职责分工，提供内容清晰准确、规范合理、安全可靠且描述详尽具体的，得</w:t>
            </w:r>
            <w:r>
              <w:rPr>
                <w:rFonts w:hint="eastAsia" w:ascii="仿宋_GB2312" w:hAnsi="仿宋_GB2312" w:eastAsia="仿宋_GB2312" w:cs="仿宋_GB2312"/>
                <w:color w:val="000000"/>
                <w:sz w:val="21"/>
                <w:szCs w:val="21"/>
                <w:shd w:val="clear" w:color="auto" w:fill="auto"/>
                <w:lang w:val="en-US" w:eastAsia="zh-CN"/>
              </w:rPr>
              <w:t>5</w:t>
            </w:r>
            <w:r>
              <w:rPr>
                <w:rFonts w:hint="eastAsia" w:ascii="仿宋_GB2312" w:hAnsi="仿宋_GB2312" w:eastAsia="仿宋_GB2312" w:cs="仿宋_GB2312"/>
                <w:color w:val="000000"/>
                <w:sz w:val="21"/>
                <w:szCs w:val="21"/>
                <w:shd w:val="clear" w:color="auto" w:fill="auto"/>
              </w:rPr>
              <w:t>分</w:t>
            </w:r>
            <w:r>
              <w:rPr>
                <w:rFonts w:hint="eastAsia" w:ascii="仿宋_GB2312" w:hAnsi="仿宋_GB2312" w:eastAsia="仿宋_GB2312" w:cs="仿宋_GB2312"/>
                <w:color w:val="000000"/>
                <w:sz w:val="21"/>
                <w:szCs w:val="21"/>
                <w:shd w:val="clear" w:color="auto" w:fill="auto"/>
                <w:lang w:eastAsia="zh-CN"/>
              </w:rPr>
              <w:t>。</w:t>
            </w:r>
          </w:p>
        </w:tc>
      </w:tr>
    </w:tbl>
    <w:p>
      <w:pPr>
        <w:widowControl/>
        <w:jc w:val="left"/>
        <w:rPr>
          <w:rFonts w:hint="eastAsia" w:ascii="宋体" w:hAnsi="宋体" w:cs="宋体"/>
          <w:b/>
          <w:color w:val="000000"/>
          <w:kern w:val="0"/>
          <w:sz w:val="28"/>
          <w:szCs w:val="28"/>
        </w:rPr>
      </w:pPr>
    </w:p>
    <w:p>
      <w:pPr>
        <w:widowControl w:val="0"/>
        <w:wordWrap/>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widowControl w:val="0"/>
      <w:jc w:val="both"/>
    </w:pPr>
    <w:rPr>
      <w:rFonts w:ascii="Calibri" w:hAnsi="Calibri" w:eastAsia="宋体" w:cs="黑体"/>
      <w:kern w:val="2"/>
      <w:sz w:val="21"/>
      <w:szCs w:val="24"/>
      <w:lang w:val="en-US" w:eastAsia="zh-CN" w:bidi="ar-SA"/>
    </w:rPr>
  </w:style>
  <w:style w:type="character" w:default="1" w:styleId="5">
    <w:name w:val="Default Paragraph Font"/>
  </w:style>
  <w:style w:type="paragraph" w:customStyle="1" w:styleId="2">
    <w:name w:val="Message Header"/>
    <w:basedOn w:val="1"/>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 w:val="24"/>
    </w:rPr>
  </w:style>
  <w:style w:type="paragraph" w:styleId="3">
    <w:name w:val="Body Text"/>
    <w:basedOn w:val="1"/>
    <w:next w:val="4"/>
    <w:pPr>
      <w:ind w:left="730"/>
      <w:jc w:val="left"/>
    </w:pPr>
    <w:rPr>
      <w:rFonts w:ascii="宋体" w:hAnsi="宋体" w:cs="Times New Roman"/>
      <w:kern w:val="0"/>
      <w:sz w:val="23"/>
      <w:szCs w:val="23"/>
      <w:lang w:eastAsia="en-US"/>
    </w:rPr>
  </w:style>
  <w:style w:type="paragraph" w:styleId="4">
    <w:name w:val="toc 2"/>
    <w:basedOn w:val="1"/>
    <w:next w:val="1"/>
    <w:pPr>
      <w:spacing w:before="240"/>
      <w:jc w:val="left"/>
    </w:pPr>
    <w:rPr>
      <w:rFonts w:cs="Calibri"/>
      <w:b/>
      <w:bCs/>
      <w:sz w:val="20"/>
      <w:szCs w:val="20"/>
    </w:rPr>
  </w:style>
  <w:style w:type="paragraph" w:customStyle="1" w:styleId="6">
    <w:name w:val="Normal Indent"/>
    <w:basedOn w:val="1"/>
    <w:next w:val="3"/>
    <w:pPr>
      <w:adjustRightInd w:val="0"/>
      <w:spacing w:line="360" w:lineRule="atLeast"/>
      <w:ind w:firstLine="420" w:firstLineChars="200"/>
      <w:jc w:val="left"/>
      <w:textAlignment w:val="baseline"/>
    </w:pPr>
    <w:rPr>
      <w:rFonts w:ascii="Times New Roman" w:hAnsi="Times New Roman"/>
      <w:kern w:val="0"/>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830</Words>
  <Characters>868</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2023-07-18T08:21:00Z</dcterms:created>
  <dc:creator>Administrator</dc:creator>
  <cp:lastPrinted>2023-11-23T16:49:00Z</cp:lastPrinted>
  <dcterms:modified xsi:type="dcterms:W3CDTF">2023-11-23T17:25:28Z</dcterms:modified>
  <dc:title>陽光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8417198BFF6E4153BC554C7FF517F455_13</vt:lpwstr>
  </property>
</Properties>
</file>