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</w:t>
      </w:r>
    </w:p>
    <w:p>
      <w:pPr>
        <w:spacing w:line="560" w:lineRule="exact"/>
        <w:jc w:val="center"/>
        <w:rPr>
          <w:rFonts w:ascii="仿宋_GB2312" w:hAnsi="仿宋" w:eastAsia="仿宋_GB2312" w:cs="仿宋"/>
          <w:b/>
          <w:sz w:val="36"/>
          <w:szCs w:val="36"/>
        </w:rPr>
      </w:pPr>
      <w:r>
        <w:rPr>
          <w:rFonts w:hint="eastAsia" w:ascii="仿宋_GB2312" w:hAnsi="仿宋" w:eastAsia="仿宋_GB2312" w:cs="仿宋"/>
          <w:b/>
          <w:sz w:val="36"/>
          <w:szCs w:val="36"/>
        </w:rPr>
        <w:t>服务报价单</w:t>
      </w:r>
    </w:p>
    <w:p>
      <w:pPr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W w:w="86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>
        <w:trPr>
          <w:trHeight w:val="2087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市属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公共租赁住房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选聘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房产面积测绘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公司的询比采购</w:t>
            </w:r>
          </w:p>
        </w:tc>
      </w:tr>
      <w:tr>
        <w:trPr>
          <w:trHeight w:val="137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比选申请人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>
        <w:trPr>
          <w:trHeight w:val="132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C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C00000"/>
                <w:sz w:val="32"/>
                <w:szCs w:val="32"/>
              </w:rPr>
            </w:pPr>
          </w:p>
        </w:tc>
      </w:tr>
      <w:tr>
        <w:trPr>
          <w:trHeight w:val="1526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</w:p>
        </w:tc>
      </w:tr>
      <w:tr>
        <w:trPr>
          <w:trHeight w:val="1412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32"/>
                <w:szCs w:val="32"/>
                <w:lang w:val="en-US" w:eastAsia="zh-CN"/>
              </w:rPr>
              <w:t>项目工作内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公共租赁住房房屋面积测绘、提供不动产公产权办理信息数据库和电子楼盘信息化</w:t>
            </w:r>
          </w:p>
        </w:tc>
      </w:tr>
      <w:tr>
        <w:trPr>
          <w:trHeight w:val="16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>报价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>最高限价45万元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       金额（元）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2"/>
        <w:numPr>
          <w:ilvl w:val="0"/>
          <w:numId w:val="0"/>
        </w:numPr>
        <w:ind w:leftChars="0"/>
        <w:jc w:val="both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 xml:space="preserve">    </w:t>
      </w:r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 w:eastAsia="方正小标宋简体"/>
          <w:sz w:val="28"/>
          <w:szCs w:val="36"/>
          <w:lang w:eastAsia="zh-CN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评分细则</w:t>
      </w:r>
    </w:p>
    <w:tbl>
      <w:tblPr>
        <w:tblpPr w:leftFromText="180" w:rightFromText="180" w:vertAnchor="text" w:horzAnchor="page" w:tblpX="1894" w:tblpY="382"/>
        <w:tblOverlap w:val="never"/>
        <w:tblW w:w="89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362"/>
        <w:gridCol w:w="6475"/>
      </w:tblGrid>
      <w:tr>
        <w:trPr>
          <w:trHeight w:val="866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分值构成</w:t>
            </w:r>
          </w:p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总分100分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报价部分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企业资质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部分：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测绘方案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部分：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</w:tc>
      </w:tr>
      <w:tr>
        <w:trPr>
          <w:trHeight w:val="716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评审项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评分因素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评标标准</w:t>
            </w:r>
          </w:p>
        </w:tc>
      </w:tr>
      <w:tr>
        <w:trPr>
          <w:trHeight w:val="1101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ind w:leftChars="-2" w:hanging="4" w:hangingChars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报价部分</w:t>
            </w:r>
          </w:p>
          <w:p>
            <w:pPr>
              <w:widowControl/>
              <w:wordWrap/>
              <w:adjustRightInd/>
              <w:spacing w:line="240" w:lineRule="auto"/>
              <w:ind w:leftChars="-2" w:hanging="4" w:hangingChars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报价</w:t>
            </w:r>
          </w:p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评标基准价：满足招标文件要求的有效投标报价中，最低的投标报价为评标基准价。</w:t>
            </w:r>
          </w:p>
          <w:p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投标报价得分=（评标基准价/投标报价）×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  <w:tr>
        <w:trPr>
          <w:trHeight w:val="1028" w:hRule="atLeast"/>
        </w:trPr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ind w:leftChars="-2" w:hanging="4" w:hangingChars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企业资质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部分</w:t>
            </w:r>
          </w:p>
          <w:p>
            <w:pPr>
              <w:widowControl/>
              <w:wordWrap/>
              <w:adjustRightInd/>
              <w:spacing w:line="240" w:lineRule="auto"/>
              <w:ind w:leftChars="-2" w:hanging="4" w:hangingChars="2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资质，证照部分（5分）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公司营业执照（2分），公司相关资质证明（1分），相关人员从业资格证（1分），作业证（1分）。</w:t>
            </w:r>
          </w:p>
        </w:tc>
      </w:tr>
      <w:tr>
        <w:trPr>
          <w:trHeight w:val="538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ind w:leftChars="-2" w:hanging="4" w:hangingChars="2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信息数据库（10分）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提供不动产公共租赁住房房屋产权办理资料信息数据库（10分）</w:t>
            </w:r>
          </w:p>
        </w:tc>
      </w:tr>
      <w:tr>
        <w:trPr>
          <w:trHeight w:val="768" w:hRule="atLeast"/>
        </w:trPr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业绩（15分）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公司承接过不动产测绘项目的合同协议书作为评审依据（房产测绘合同金额在20万以上每有一个得5分，最高得15分。）</w:t>
            </w:r>
          </w:p>
        </w:tc>
      </w:tr>
      <w:tr>
        <w:trPr>
          <w:trHeight w:val="840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电子信息化（10分）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电子楼盘信息化（10分）</w:t>
            </w:r>
          </w:p>
        </w:tc>
      </w:tr>
      <w:tr>
        <w:trPr>
          <w:trHeight w:val="4749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测绘方案（10分）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项目实施方案</w:t>
            </w:r>
          </w:p>
          <w:p>
            <w:pPr>
              <w:widowControl/>
              <w:wordWrap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6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（1）项目组织机构科学合理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2"/>
              </w:numPr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项目主要人员岗位职责健全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widowControl/>
              <w:numPr>
                <w:numId w:val="0"/>
              </w:numPr>
              <w:spacing w:before="0" w:beforeAutospacing="0" w:after="0" w:afterAutospacing="0" w:line="440" w:lineRule="exact"/>
              <w:ind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（3）人员及设备安排计划合理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（4）项目工作进度安排、工作流程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（5）项目实施技术措施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（6）确保服务质量的技术和组织实施合理性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（7）确保服务期限和组织措施合理性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（8）项目实施难点及关键过程分析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（9）质量保证体系的完整和可行性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widowControl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（10）项目实施过程中的涉密管理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人员证书</w:t>
            </w:r>
            <w:r>
              <w:rPr>
                <w:rFonts w:hint="eastAsia" w:ascii="宋体" w:hAnsi="宋体" w:eastAsia="宋体" w:cs="宋体"/>
                <w:szCs w:val="21"/>
              </w:rPr>
              <w:t>及保证措施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widowControl/>
              <w:wordWrap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</w:p>
        </w:tc>
      </w:tr>
    </w:tbl>
    <w:p>
      <w:pPr>
        <w:tabs>
          <w:tab w:val="left" w:pos="622"/>
        </w:tabs>
        <w:spacing w:line="560" w:lineRule="exact"/>
        <w:ind w:right="960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 xml:space="preserve"> </w:t>
      </w:r>
    </w:p>
    <w:p>
      <w:pPr>
        <w:tabs>
          <w:tab w:val="left" w:pos="622"/>
        </w:tabs>
        <w:spacing w:line="560" w:lineRule="exact"/>
        <w:ind w:right="960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评分人签字：  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angal">
    <w:altName w:val="Segoe Print"/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">
    <w:nsid w:val="00000006"/>
    <w:multiLevelType w:val="multilevel"/>
    <w:tmpl w:val="00000006"/>
    <w:lvl w:ilvl="0" w:tentative="1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1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1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1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1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1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1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1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1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7">
    <w:nsid w:val="00000007"/>
    <w:multiLevelType w:val="singleLevel"/>
    <w:tmpl w:val="00000007"/>
    <w:lvl w:ilvl="0" w:tentative="1">
      <w:start w:val="2"/>
      <w:numFmt w:val="decimal"/>
      <w:suff w:val="nothing"/>
      <w:lvlText w:val="（%1）"/>
      <w:lvlJc w:val="left"/>
    </w:lvl>
  </w:abstractNum>
  <w:num w:numId="1">
    <w:abstractNumId w:val="6"/>
  </w:num>
  <w:num w:numId="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pPr>
      <w:keepNext/>
      <w:keepLines/>
      <w:numPr>
        <w:ilvl w:val="0"/>
        <w:numId w:val="1"/>
      </w:numPr>
      <w:spacing w:before="100" w:after="10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character" w:default="1" w:styleId="5">
    <w:name w:val="Default Paragraph Font"/>
  </w:style>
  <w:style w:type="paragraph" w:styleId="3">
    <w:name w:val="Body Text"/>
    <w:basedOn w:val="1"/>
    <w:next w:val="4"/>
    <w:pPr>
      <w:spacing w:after="120"/>
    </w:pPr>
  </w:style>
  <w:style w:type="paragraph" w:styleId="4">
    <w:name w:val="toc 2"/>
    <w:basedOn w:val="1"/>
    <w:next w:val="1"/>
    <w:pPr>
      <w:spacing w:before="240"/>
      <w:jc w:val="left"/>
    </w:pPr>
    <w:rPr>
      <w:rFonts w:cs="Calibri"/>
      <w:b/>
      <w:bCs/>
      <w:sz w:val="20"/>
      <w:szCs w:val="20"/>
    </w:rPr>
  </w:style>
  <w:style w:type="paragraph" w:customStyle="1" w:styleId="6">
    <w:name w:val="Normal Indent"/>
    <w:basedOn w:val="1"/>
    <w:next w:val="3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7">
    <w:name w:val="Plain Text"/>
    <w:basedOn w:val="1"/>
    <w:rPr>
      <w:sz w:val="24"/>
    </w:rPr>
  </w:style>
  <w:style w:type="paragraph" w:customStyle="1" w:styleId="8">
    <w:name w:val="Normal (Web)"/>
    <w:basedOn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Body Text First Indent"/>
    <w:basedOn w:val="3"/>
    <w:next w:val="1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customStyle="1" w:styleId="10">
    <w:name w:val="List Paragraph1"/>
    <w:basedOn w:val="1"/>
    <w:next w:val="1"/>
    <w:pPr>
      <w:widowControl w:val="0"/>
      <w:spacing w:before="0" w:after="0" w:line="240" w:lineRule="auto"/>
      <w:ind w:left="420" w:firstLine="374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830</Words>
  <Characters>868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2023-07-18T08:21:00Z</dcterms:created>
  <dc:creator>Administrator</dc:creator>
  <dcterms:modified xsi:type="dcterms:W3CDTF">2023-11-17T09:50:08Z</dcterms:modified>
  <dc:title>陽光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6CEDFE913D5340B3BD3105301739BC72_12</vt:lpwstr>
  </property>
</Properties>
</file>