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right"/>
        <w:outlineLvl w:val="1"/>
        <w:rPr>
          <w:rFonts w:hint="eastAsia" w:ascii="仿宋" w:hAnsi="仿宋" w:eastAsia="仿宋" w:cs="仿宋"/>
          <w:b/>
          <w:bCs/>
          <w:caps/>
          <w:color w:val="auto"/>
          <w:sz w:val="28"/>
          <w:szCs w:val="28"/>
          <w:highlight w:val="none"/>
          <w:lang w:val="en-US" w:eastAsia="zh-CN"/>
        </w:rPr>
      </w:pPr>
      <w:r>
        <w:rPr>
          <w:rFonts w:hint="eastAsia" w:ascii="仿宋" w:hAnsi="仿宋" w:eastAsia="仿宋" w:cs="仿宋"/>
          <w:b/>
          <w:bCs/>
          <w:caps/>
          <w:color w:val="auto"/>
          <w:sz w:val="28"/>
          <w:szCs w:val="28"/>
          <w:highlight w:val="none"/>
        </w:rPr>
        <w:t>项目编号：</w:t>
      </w:r>
      <w:r>
        <w:rPr>
          <w:rFonts w:hint="eastAsia" w:ascii="仿宋" w:hAnsi="仿宋" w:eastAsia="仿宋" w:cs="仿宋"/>
          <w:b/>
          <w:bCs/>
          <w:caps/>
          <w:color w:val="auto"/>
          <w:sz w:val="28"/>
          <w:szCs w:val="28"/>
          <w:highlight w:val="none"/>
          <w:lang w:val="en-US" w:eastAsia="zh-CN"/>
        </w:rPr>
        <w:t>RZB-2023005-1</w:t>
      </w:r>
      <w:r>
        <w:rPr>
          <w:rFonts w:hint="eastAsia" w:ascii="仿宋" w:hAnsi="仿宋" w:eastAsia="仿宋" w:cs="仿宋"/>
          <w:b/>
          <w:bCs/>
          <w:caps/>
          <w:color w:val="auto"/>
          <w:sz w:val="28"/>
          <w:szCs w:val="28"/>
          <w:highlight w:val="none"/>
        </w:rPr>
        <w:t xml:space="preserve">号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sz w:val="72"/>
          <w:szCs w:val="72"/>
          <w:highlight w:val="none"/>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eastAsia="zh-CN"/>
        </w:rPr>
        <w:t>许昌市城投发展集团有限公司</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val="en-US" w:eastAsia="zh-CN"/>
        </w:rPr>
        <w:t>2023年</w:t>
      </w:r>
      <w:r>
        <w:rPr>
          <w:rFonts w:hint="eastAsia" w:ascii="方正小标宋简体" w:hAnsi="方正小标宋简体" w:eastAsia="方正小标宋简体" w:cs="方正小标宋简体"/>
          <w:b w:val="0"/>
          <w:bCs w:val="0"/>
          <w:sz w:val="52"/>
          <w:szCs w:val="52"/>
          <w:highlight w:val="none"/>
          <w:lang w:eastAsia="zh-CN"/>
        </w:rPr>
        <w:t>非公开发行公司债券</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52"/>
          <w:szCs w:val="52"/>
          <w:highlight w:val="none"/>
          <w:lang w:eastAsia="zh-CN"/>
        </w:rPr>
      </w:pPr>
      <w:r>
        <w:rPr>
          <w:rFonts w:hint="eastAsia" w:ascii="方正小标宋简体" w:hAnsi="方正小标宋简体" w:eastAsia="方正小标宋简体" w:cs="方正小标宋简体"/>
          <w:b w:val="0"/>
          <w:bCs w:val="0"/>
          <w:sz w:val="52"/>
          <w:szCs w:val="52"/>
          <w:highlight w:val="none"/>
          <w:lang w:eastAsia="zh-CN"/>
        </w:rPr>
        <w:t>专项法律服务</w:t>
      </w:r>
    </w:p>
    <w:p>
      <w:pPr>
        <w:jc w:val="both"/>
        <w:rPr>
          <w:rFonts w:hint="eastAsia" w:ascii="仿宋" w:hAnsi="仿宋" w:eastAsia="仿宋" w:cs="仿宋"/>
          <w:b/>
          <w:color w:val="auto"/>
          <w:spacing w:val="60"/>
          <w:sz w:val="28"/>
          <w:szCs w:val="28"/>
          <w:highlight w:val="none"/>
          <w:shd w:val="clear" w:color="060000" w:fill="auto"/>
        </w:rPr>
      </w:pPr>
    </w:p>
    <w:p>
      <w:pPr>
        <w:jc w:val="both"/>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询 比 采 购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jc w:val="both"/>
        <w:rPr>
          <w:rFonts w:hint="eastAsia" w:ascii="仿宋" w:hAnsi="仿宋" w:eastAsia="仿宋" w:cs="仿宋"/>
          <w:color w:val="auto"/>
          <w:sz w:val="28"/>
          <w:szCs w:val="28"/>
          <w:highlight w:val="none"/>
          <w:shd w:val="clear" w:color="050000" w:fill="auto"/>
        </w:rPr>
      </w:pPr>
    </w:p>
    <w:p>
      <w:pPr>
        <w:jc w:val="both"/>
        <w:rPr>
          <w:rFonts w:hint="eastAsia" w:ascii="仿宋" w:hAnsi="仿宋" w:eastAsia="仿宋" w:cs="仿宋"/>
          <w:color w:val="auto"/>
          <w:sz w:val="28"/>
          <w:szCs w:val="28"/>
          <w:highlight w:val="none"/>
          <w:shd w:val="clear" w:color="050000" w:fill="auto"/>
        </w:rPr>
      </w:pPr>
    </w:p>
    <w:p>
      <w:pPr>
        <w:pStyle w:val="3"/>
        <w:numPr>
          <w:ilvl w:val="1"/>
          <w:numId w:val="0"/>
        </w:numPr>
        <w:rPr>
          <w:rFonts w:hint="eastAsia"/>
          <w:highlight w:val="none"/>
        </w:rPr>
      </w:pPr>
    </w:p>
    <w:p>
      <w:pPr>
        <w:jc w:val="center"/>
        <w:rPr>
          <w:rFonts w:hint="eastAsia" w:ascii="仿宋" w:hAnsi="仿宋" w:eastAsia="仿宋" w:cs="仿宋"/>
          <w:color w:val="auto"/>
          <w:sz w:val="28"/>
          <w:szCs w:val="28"/>
          <w:highlight w:val="none"/>
          <w:shd w:val="clear" w:color="050000" w:fill="auto"/>
        </w:rPr>
      </w:pPr>
    </w:p>
    <w:p>
      <w:pPr>
        <w:spacing w:line="360" w:lineRule="auto"/>
        <w:jc w:val="center"/>
        <w:rPr>
          <w:rFonts w:hint="eastAsia" w:ascii="仿宋" w:hAnsi="仿宋" w:eastAsia="仿宋" w:cs="仿宋"/>
          <w:b/>
          <w:bCs/>
          <w:caps/>
          <w:color w:val="auto"/>
          <w:sz w:val="36"/>
          <w:szCs w:val="36"/>
          <w:highlight w:val="none"/>
        </w:rPr>
      </w:pPr>
      <w:r>
        <w:rPr>
          <w:rFonts w:hint="eastAsia" w:ascii="仿宋" w:hAnsi="仿宋" w:eastAsia="仿宋" w:cs="仿宋"/>
          <w:b/>
          <w:bCs/>
          <w:caps/>
          <w:color w:val="auto"/>
          <w:sz w:val="36"/>
          <w:szCs w:val="36"/>
          <w:highlight w:val="none"/>
          <w:lang w:val="en-US" w:eastAsia="zh-CN"/>
        </w:rPr>
        <w:t>询比采购单位</w:t>
      </w:r>
      <w:r>
        <w:rPr>
          <w:rFonts w:hint="eastAsia" w:ascii="仿宋" w:hAnsi="仿宋" w:eastAsia="仿宋" w:cs="仿宋"/>
          <w:b/>
          <w:bCs/>
          <w:caps/>
          <w:color w:val="auto"/>
          <w:sz w:val="36"/>
          <w:szCs w:val="36"/>
          <w:highlight w:val="none"/>
        </w:rPr>
        <w:t>：许昌市城投发展集团有限公司</w:t>
      </w:r>
    </w:p>
    <w:p>
      <w:pPr>
        <w:spacing w:line="360" w:lineRule="auto"/>
        <w:jc w:val="center"/>
        <w:rPr>
          <w:rFonts w:hint="eastAsia" w:ascii="仿宋" w:hAnsi="仿宋" w:eastAsia="仿宋" w:cs="仿宋"/>
          <w:b/>
          <w:color w:val="auto"/>
          <w:sz w:val="36"/>
          <w:szCs w:val="36"/>
          <w:highlight w:val="none"/>
          <w:shd w:val="clear" w:color="060000" w:fill="auto"/>
        </w:rPr>
      </w:pPr>
    </w:p>
    <w:p>
      <w:pPr>
        <w:spacing w:line="360" w:lineRule="auto"/>
        <w:jc w:val="center"/>
        <w:rPr>
          <w:rFonts w:hint="eastAsia" w:ascii="仿宋" w:hAnsi="仿宋" w:eastAsia="仿宋" w:cs="仿宋"/>
          <w:color w:val="auto"/>
          <w:sz w:val="36"/>
          <w:szCs w:val="36"/>
          <w:highlight w:val="none"/>
          <w:shd w:val="clear" w:color="050000" w:fill="auto"/>
        </w:rPr>
      </w:pPr>
      <w:r>
        <w:rPr>
          <w:rFonts w:hint="eastAsia" w:ascii="仿宋" w:hAnsi="仿宋" w:eastAsia="仿宋" w:cs="仿宋"/>
          <w:b/>
          <w:color w:val="auto"/>
          <w:sz w:val="36"/>
          <w:szCs w:val="36"/>
          <w:highlight w:val="none"/>
          <w:shd w:val="clear" w:color="060000" w:fill="auto"/>
        </w:rPr>
        <w:t>二〇二</w:t>
      </w:r>
      <w:r>
        <w:rPr>
          <w:rFonts w:hint="eastAsia" w:ascii="仿宋" w:hAnsi="仿宋" w:eastAsia="仿宋" w:cs="仿宋"/>
          <w:b/>
          <w:color w:val="auto"/>
          <w:sz w:val="36"/>
          <w:szCs w:val="36"/>
          <w:highlight w:val="none"/>
          <w:shd w:val="clear" w:color="060000" w:fill="auto"/>
          <w:lang w:val="en-US" w:eastAsia="zh-CN"/>
        </w:rPr>
        <w:t>三</w:t>
      </w:r>
      <w:r>
        <w:rPr>
          <w:rFonts w:hint="eastAsia" w:ascii="仿宋" w:hAnsi="仿宋" w:eastAsia="仿宋" w:cs="仿宋"/>
          <w:b/>
          <w:color w:val="auto"/>
          <w:sz w:val="36"/>
          <w:szCs w:val="36"/>
          <w:highlight w:val="none"/>
          <w:shd w:val="clear" w:color="060000" w:fill="auto"/>
        </w:rPr>
        <w:t>年</w:t>
      </w:r>
      <w:r>
        <w:rPr>
          <w:rFonts w:hint="eastAsia" w:ascii="仿宋" w:hAnsi="仿宋" w:eastAsia="仿宋" w:cs="仿宋"/>
          <w:b/>
          <w:color w:val="auto"/>
          <w:sz w:val="36"/>
          <w:szCs w:val="36"/>
          <w:highlight w:val="none"/>
          <w:shd w:val="clear" w:color="060000" w:fill="auto"/>
          <w:lang w:eastAsia="zh-CN"/>
        </w:rPr>
        <w:t>十</w:t>
      </w:r>
      <w:r>
        <w:rPr>
          <w:rFonts w:hint="eastAsia" w:ascii="仿宋" w:hAnsi="仿宋" w:eastAsia="仿宋" w:cs="仿宋"/>
          <w:b/>
          <w:color w:val="auto"/>
          <w:sz w:val="36"/>
          <w:szCs w:val="36"/>
          <w:highlight w:val="none"/>
          <w:shd w:val="clear" w:color="060000" w:fill="auto"/>
        </w:rPr>
        <w:t>月</w:t>
      </w:r>
    </w:p>
    <w:p>
      <w:pPr>
        <w:pStyle w:val="26"/>
        <w:ind w:firstLine="0" w:firstLineChars="0"/>
        <w:rPr>
          <w:rFonts w:hint="eastAsia" w:ascii="仿宋" w:hAnsi="仿宋" w:eastAsia="仿宋" w:cs="仿宋"/>
          <w:color w:val="auto"/>
          <w:sz w:val="24"/>
          <w:szCs w:val="24"/>
          <w:highlight w:val="none"/>
        </w:rPr>
      </w:pPr>
    </w:p>
    <w:p>
      <w:pPr>
        <w:spacing w:line="700" w:lineRule="auto"/>
        <w:ind w:firstLine="551"/>
        <w:jc w:val="center"/>
        <w:rPr>
          <w:rFonts w:hint="eastAsia" w:ascii="仿宋" w:hAnsi="仿宋" w:eastAsia="仿宋" w:cs="仿宋"/>
          <w:b/>
          <w:color w:val="auto"/>
          <w:sz w:val="40"/>
          <w:szCs w:val="40"/>
          <w:highlight w:val="none"/>
          <w:shd w:val="clear" w:color="060000" w:fill="auto"/>
        </w:rPr>
        <w:sectPr>
          <w:footerReference r:id="rId4" w:type="first"/>
          <w:footerReference r:id="rId3" w:type="default"/>
          <w:pgSz w:w="11906" w:h="16838"/>
          <w:pgMar w:top="1440" w:right="1800" w:bottom="1440" w:left="1800" w:header="720" w:footer="720"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720" w:lineRule="auto"/>
        <w:ind w:firstLine="551"/>
        <w:jc w:val="center"/>
        <w:textAlignment w:val="auto"/>
        <w:rPr>
          <w:rFonts w:hint="eastAsia" w:ascii="仿宋" w:hAnsi="仿宋" w:eastAsia="仿宋" w:cs="仿宋"/>
          <w:color w:val="auto"/>
          <w:sz w:val="40"/>
          <w:szCs w:val="40"/>
          <w:highlight w:val="none"/>
          <w:shd w:val="clear" w:color="060000" w:fill="auto"/>
        </w:rPr>
      </w:pPr>
      <w:r>
        <w:rPr>
          <w:rFonts w:hint="eastAsia" w:ascii="仿宋" w:hAnsi="仿宋" w:eastAsia="仿宋" w:cs="仿宋"/>
          <w:b/>
          <w:color w:val="auto"/>
          <w:sz w:val="40"/>
          <w:szCs w:val="40"/>
          <w:highlight w:val="none"/>
          <w:shd w:val="clear" w:color="060000" w:fill="auto"/>
          <w:lang w:eastAsia="zh-CN"/>
        </w:rPr>
        <w:t>询比采购文件</w:t>
      </w:r>
      <w:r>
        <w:rPr>
          <w:rFonts w:hint="eastAsia" w:ascii="仿宋" w:hAnsi="仿宋" w:eastAsia="仿宋" w:cs="仿宋"/>
          <w:b/>
          <w:color w:val="auto"/>
          <w:sz w:val="40"/>
          <w:szCs w:val="40"/>
          <w:highlight w:val="none"/>
          <w:shd w:val="clear" w:color="060000" w:fill="auto"/>
        </w:rPr>
        <w:t>目录</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lang w:eastAsia="zh-CN"/>
        </w:rPr>
      </w:pPr>
      <w:r>
        <w:rPr>
          <w:rFonts w:hint="eastAsia" w:ascii="仿宋" w:hAnsi="仿宋" w:eastAsia="仿宋" w:cs="仿宋"/>
          <w:b/>
          <w:color w:val="auto"/>
          <w:sz w:val="32"/>
          <w:szCs w:val="32"/>
          <w:highlight w:val="none"/>
          <w:shd w:val="clear" w:color="060000" w:fill="auto"/>
        </w:rPr>
        <w:t xml:space="preserve">第一章 </w:t>
      </w:r>
      <w:r>
        <w:rPr>
          <w:rFonts w:hint="eastAsia" w:ascii="仿宋" w:hAnsi="仿宋" w:eastAsia="仿宋" w:cs="仿宋"/>
          <w:b/>
          <w:color w:val="auto"/>
          <w:sz w:val="32"/>
          <w:szCs w:val="32"/>
          <w:highlight w:val="none"/>
          <w:shd w:val="clear" w:color="060000" w:fill="auto"/>
          <w:lang w:val="en-US" w:eastAsia="zh-CN"/>
        </w:rPr>
        <w:t>询比采购邀请函</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highlight w:val="none"/>
          <w:shd w:val="clear" w:color="060000" w:fill="auto"/>
          <w:lang w:val="en-US" w:eastAsia="zh-CN"/>
        </w:rPr>
      </w:pPr>
      <w:r>
        <w:rPr>
          <w:rFonts w:hint="eastAsia" w:ascii="仿宋" w:hAnsi="仿宋" w:eastAsia="仿宋" w:cs="仿宋"/>
          <w:b/>
          <w:color w:val="auto"/>
          <w:sz w:val="32"/>
          <w:szCs w:val="32"/>
          <w:highlight w:val="none"/>
          <w:shd w:val="clear" w:color="060000" w:fill="auto"/>
          <w:lang w:eastAsia="zh-CN"/>
        </w:rPr>
        <w:t>第二章</w:t>
      </w:r>
      <w:r>
        <w:rPr>
          <w:rFonts w:hint="eastAsia" w:ascii="仿宋" w:hAnsi="仿宋" w:eastAsia="仿宋" w:cs="仿宋"/>
          <w:b/>
          <w:color w:val="auto"/>
          <w:sz w:val="32"/>
          <w:szCs w:val="32"/>
          <w:highlight w:val="none"/>
          <w:shd w:val="clear" w:color="060000" w:fill="auto"/>
          <w:lang w:val="en-US" w:eastAsia="zh-CN"/>
        </w:rPr>
        <w:t xml:space="preserve"> 采购需求</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eastAsia="zh-CN"/>
        </w:rPr>
        <w:t>三</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投标人</w:t>
      </w:r>
      <w:r>
        <w:rPr>
          <w:rFonts w:hint="eastAsia" w:ascii="仿宋" w:hAnsi="仿宋" w:eastAsia="仿宋" w:cs="仿宋"/>
          <w:b/>
          <w:color w:val="auto"/>
          <w:sz w:val="32"/>
          <w:szCs w:val="32"/>
          <w:highlight w:val="none"/>
          <w:shd w:val="clear" w:color="060000" w:fill="auto"/>
        </w:rPr>
        <w:t>须知</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default" w:ascii="仿宋" w:hAnsi="仿宋" w:eastAsia="仿宋" w:cs="仿宋"/>
          <w:b/>
          <w:color w:val="auto"/>
          <w:sz w:val="32"/>
          <w:szCs w:val="32"/>
          <w:highlight w:val="none"/>
          <w:shd w:val="clear" w:color="060000" w:fill="auto"/>
          <w:lang w:val="en-US" w:eastAsia="zh-CN"/>
        </w:rPr>
      </w:pPr>
      <w:r>
        <w:rPr>
          <w:rFonts w:hint="eastAsia" w:ascii="仿宋" w:hAnsi="仿宋" w:eastAsia="仿宋" w:cs="仿宋"/>
          <w:b/>
          <w:color w:val="auto"/>
          <w:sz w:val="32"/>
          <w:szCs w:val="32"/>
          <w:highlight w:val="none"/>
          <w:shd w:val="clear" w:color="060000" w:fill="auto"/>
          <w:lang w:eastAsia="zh-CN"/>
        </w:rPr>
        <w:t>第四章</w:t>
      </w:r>
      <w:r>
        <w:rPr>
          <w:rFonts w:hint="eastAsia" w:ascii="仿宋" w:hAnsi="仿宋" w:eastAsia="仿宋" w:cs="仿宋"/>
          <w:b/>
          <w:color w:val="auto"/>
          <w:sz w:val="32"/>
          <w:szCs w:val="32"/>
          <w:highlight w:val="none"/>
          <w:shd w:val="clear" w:color="060000" w:fill="auto"/>
          <w:lang w:val="en-US" w:eastAsia="zh-CN"/>
        </w:rPr>
        <w:t xml:space="preserve"> 评分办法</w:t>
      </w:r>
    </w:p>
    <w:p>
      <w:pPr>
        <w:pStyle w:val="14"/>
        <w:keepNext w:val="0"/>
        <w:keepLines w:val="0"/>
        <w:pageBreakBefore w:val="0"/>
        <w:widowControl/>
        <w:kinsoku/>
        <w:wordWrap/>
        <w:overflowPunct/>
        <w:topLinePunct w:val="0"/>
        <w:autoSpaceDE/>
        <w:autoSpaceDN/>
        <w:bidi w:val="0"/>
        <w:adjustRightInd/>
        <w:snapToGrid/>
        <w:spacing w:line="720" w:lineRule="auto"/>
        <w:ind w:left="420" w:leftChars="200"/>
        <w:jc w:val="left"/>
        <w:textAlignment w:val="auto"/>
        <w:rPr>
          <w:rFonts w:hint="eastAsia" w:ascii="仿宋" w:hAnsi="仿宋" w:eastAsia="仿宋" w:cs="仿宋"/>
          <w:b/>
          <w:color w:val="auto"/>
          <w:sz w:val="32"/>
          <w:szCs w:val="32"/>
          <w:highlight w:val="none"/>
          <w:shd w:val="clear" w:color="060000" w:fill="auto"/>
        </w:rPr>
      </w:pPr>
      <w:r>
        <w:rPr>
          <w:rFonts w:hint="eastAsia" w:ascii="仿宋" w:hAnsi="仿宋" w:eastAsia="仿宋" w:cs="仿宋"/>
          <w:b/>
          <w:color w:val="auto"/>
          <w:sz w:val="32"/>
          <w:szCs w:val="32"/>
          <w:highlight w:val="none"/>
          <w:shd w:val="clear" w:color="060000" w:fill="auto"/>
        </w:rPr>
        <w:t>第</w:t>
      </w:r>
      <w:r>
        <w:rPr>
          <w:rFonts w:hint="eastAsia" w:ascii="仿宋" w:hAnsi="仿宋" w:eastAsia="仿宋" w:cs="仿宋"/>
          <w:b/>
          <w:color w:val="auto"/>
          <w:sz w:val="32"/>
          <w:szCs w:val="32"/>
          <w:highlight w:val="none"/>
          <w:shd w:val="clear" w:color="060000" w:fill="auto"/>
          <w:lang w:eastAsia="zh-CN"/>
        </w:rPr>
        <w:t>五</w:t>
      </w:r>
      <w:r>
        <w:rPr>
          <w:rFonts w:hint="eastAsia" w:ascii="仿宋" w:hAnsi="仿宋" w:eastAsia="仿宋" w:cs="仿宋"/>
          <w:b/>
          <w:color w:val="auto"/>
          <w:sz w:val="32"/>
          <w:szCs w:val="32"/>
          <w:highlight w:val="none"/>
          <w:shd w:val="clear" w:color="060000" w:fill="auto"/>
        </w:rPr>
        <w:t xml:space="preserve">章 </w:t>
      </w:r>
      <w:r>
        <w:rPr>
          <w:rFonts w:hint="eastAsia" w:ascii="仿宋" w:hAnsi="仿宋" w:eastAsia="仿宋" w:cs="仿宋"/>
          <w:b/>
          <w:color w:val="auto"/>
          <w:sz w:val="32"/>
          <w:szCs w:val="32"/>
          <w:highlight w:val="none"/>
          <w:shd w:val="clear" w:color="060000" w:fill="auto"/>
          <w:lang w:eastAsia="zh-CN"/>
        </w:rPr>
        <w:t>投标文件</w:t>
      </w:r>
      <w:r>
        <w:rPr>
          <w:rFonts w:hint="eastAsia" w:ascii="仿宋" w:hAnsi="仿宋" w:eastAsia="仿宋" w:cs="仿宋"/>
          <w:b/>
          <w:color w:val="auto"/>
          <w:sz w:val="32"/>
          <w:szCs w:val="32"/>
          <w:highlight w:val="none"/>
          <w:shd w:val="clear" w:color="060000" w:fill="auto"/>
        </w:rPr>
        <w:t>有关格式</w:t>
      </w:r>
    </w:p>
    <w:p>
      <w:pPr>
        <w:jc w:val="left"/>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第一章 询比采购邀请函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许昌市城投发展集团有限公司</w:t>
      </w:r>
      <w:r>
        <w:rPr>
          <w:rFonts w:hint="eastAsia" w:ascii="仿宋_GB2312" w:hAnsi="仿宋_GB2312" w:eastAsia="仿宋_GB2312" w:cs="仿宋_GB2312"/>
          <w:sz w:val="32"/>
          <w:szCs w:val="32"/>
          <w:highlight w:val="none"/>
        </w:rPr>
        <w:t>（以下简称</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人）拟通过</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的方式</w:t>
      </w:r>
      <w:r>
        <w:rPr>
          <w:rFonts w:hint="eastAsia" w:ascii="仿宋_GB2312" w:hAnsi="仿宋_GB2312" w:eastAsia="仿宋_GB2312" w:cs="仿宋_GB2312"/>
          <w:sz w:val="32"/>
          <w:szCs w:val="32"/>
          <w:highlight w:val="none"/>
          <w:lang w:eastAsia="zh-CN"/>
        </w:rPr>
        <w:t>选聘律师事务所为询比采购人非公开发行公司债券（</w:t>
      </w:r>
      <w:r>
        <w:rPr>
          <w:rFonts w:hint="eastAsia" w:ascii="仿宋_GB2312" w:hAnsi="仿宋_GB2312" w:eastAsia="仿宋_GB2312" w:cs="仿宋_GB2312"/>
          <w:sz w:val="32"/>
          <w:szCs w:val="32"/>
        </w:rPr>
        <w:t>以下简称本次债券</w:t>
      </w:r>
      <w:r>
        <w:rPr>
          <w:rFonts w:hint="eastAsia" w:ascii="仿宋_GB2312" w:hAnsi="仿宋_GB2312" w:eastAsia="仿宋_GB2312" w:cs="仿宋_GB2312"/>
          <w:sz w:val="32"/>
          <w:szCs w:val="32"/>
          <w:highlight w:val="none"/>
          <w:lang w:eastAsia="zh-CN"/>
        </w:rPr>
        <w:t>）申报和发行相关工作提供专项法律服务</w:t>
      </w:r>
      <w:r>
        <w:rPr>
          <w:rFonts w:hint="eastAsia" w:ascii="仿宋_GB2312" w:hAnsi="仿宋_GB2312" w:eastAsia="仿宋_GB2312" w:cs="仿宋_GB2312"/>
          <w:sz w:val="32"/>
          <w:szCs w:val="32"/>
          <w:highlight w:val="none"/>
        </w:rPr>
        <w:t>，现诚邀符合资格条件的</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rPr>
        <w:t>参加。</w:t>
      </w:r>
    </w:p>
    <w:p>
      <w:pPr>
        <w:keepNext w:val="0"/>
        <w:keepLines w:val="0"/>
        <w:pageBreakBefore w:val="0"/>
        <w:widowControl w:val="0"/>
        <w:numPr>
          <w:ilvl w:val="0"/>
          <w:numId w:val="4"/>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询比采购</w:t>
      </w:r>
      <w:r>
        <w:rPr>
          <w:rFonts w:hint="eastAsia" w:ascii="仿宋_GB2312" w:hAnsi="仿宋_GB2312" w:eastAsia="仿宋_GB2312" w:cs="仿宋_GB2312"/>
          <w:b/>
          <w:bCs w:val="0"/>
          <w:sz w:val="32"/>
          <w:szCs w:val="32"/>
          <w:highlight w:val="none"/>
          <w:lang w:val="en-US" w:eastAsia="zh-CN"/>
        </w:rPr>
        <w:t>项目</w:t>
      </w:r>
      <w:r>
        <w:rPr>
          <w:rFonts w:hint="eastAsia" w:ascii="仿宋_GB2312" w:hAnsi="仿宋_GB2312" w:eastAsia="仿宋_GB2312" w:cs="仿宋_GB2312"/>
          <w:b/>
          <w:bCs w:val="0"/>
          <w:sz w:val="32"/>
          <w:szCs w:val="32"/>
          <w:highlight w:val="none"/>
        </w:rPr>
        <w:t>概况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仿宋_GB2312" w:hAnsi="仿宋_GB2312" w:eastAsia="仿宋_GB2312" w:cs="仿宋_GB2312"/>
          <w:b/>
          <w:sz w:val="32"/>
          <w:szCs w:val="32"/>
          <w:highlight w:val="none"/>
          <w:lang w:val="en-US" w:eastAsia="zh-CN"/>
        </w:rPr>
        <w:t>项目名称：</w:t>
      </w:r>
      <w:r>
        <w:rPr>
          <w:rFonts w:hint="eastAsia" w:ascii="仿宋_GB2312" w:hAnsi="仿宋_GB2312" w:eastAsia="仿宋_GB2312" w:cs="仿宋_GB2312"/>
          <w:sz w:val="32"/>
          <w:szCs w:val="32"/>
          <w:highlight w:val="none"/>
          <w:lang w:val="en-US" w:eastAsia="zh-CN"/>
        </w:rPr>
        <w:t>许昌市城投发展集团有限公司2023年非公开发行公司债券专项法律服务询比采购项目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highlight w:val="none"/>
          <w:lang w:eastAsia="zh-CN"/>
        </w:rPr>
        <w:t>询比采购</w:t>
      </w:r>
      <w:r>
        <w:rPr>
          <w:rFonts w:hint="eastAsia" w:ascii="仿宋_GB2312" w:hAnsi="仿宋_GB2312" w:eastAsia="仿宋_GB2312" w:cs="仿宋_GB2312"/>
          <w:b/>
          <w:sz w:val="32"/>
          <w:szCs w:val="32"/>
          <w:highlight w:val="none"/>
        </w:rPr>
        <w:t>人：</w:t>
      </w:r>
      <w:r>
        <w:rPr>
          <w:rFonts w:hint="eastAsia" w:ascii="仿宋_GB2312" w:hAnsi="仿宋_GB2312" w:eastAsia="仿宋_GB2312" w:cs="仿宋_GB2312"/>
          <w:sz w:val="32"/>
          <w:szCs w:val="32"/>
          <w:highlight w:val="none"/>
          <w:lang w:val="en-US"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highlight w:val="none"/>
        </w:rPr>
      </w:pPr>
      <w:r>
        <w:rPr>
          <w:rFonts w:hint="eastAsia" w:ascii="仿宋_GB2312" w:hAnsi="仿宋_GB2312" w:eastAsia="仿宋_GB2312" w:cs="仿宋_GB2312"/>
          <w:b/>
          <w:sz w:val="32"/>
          <w:szCs w:val="32"/>
          <w:highlight w:val="none"/>
          <w:lang w:val="en-US" w:eastAsia="zh-CN"/>
        </w:rPr>
        <w:t>项目概况：</w:t>
      </w:r>
      <w:r>
        <w:rPr>
          <w:rFonts w:hint="eastAsia" w:ascii="仿宋_GB2312" w:hAnsi="仿宋_GB2312" w:eastAsia="仿宋_GB2312" w:cs="仿宋_GB2312"/>
          <w:sz w:val="32"/>
          <w:szCs w:val="32"/>
          <w:highlight w:val="none"/>
          <w:lang w:val="en-US" w:eastAsia="zh-CN"/>
        </w:rPr>
        <w:t>许昌市城投发展集团有限公司拟通过证券交易所申请2023年非公开发行总额不超过20亿人民币（含20亿元）、债券期限不超过5年（含5年）的公司债券，为有序推进债券申报注册发行工作，</w:t>
      </w:r>
      <w:r>
        <w:rPr>
          <w:rFonts w:hint="eastAsia" w:ascii="仿宋_GB2312" w:hAnsi="仿宋_GB2312" w:eastAsia="仿宋_GB2312" w:cs="仿宋_GB2312"/>
          <w:sz w:val="32"/>
          <w:szCs w:val="32"/>
          <w:lang w:val="zh-CN" w:eastAsia="zh-CN"/>
        </w:rPr>
        <w:t>律师事务所须为该债券申报和发行提供专项法律服务，保证出具的《法律意见书》符合证券交易所对该债券申报和发行审核要求，在该债券存续期内，对其提供其他必要法律服务。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询比采购专项法律</w:t>
      </w:r>
      <w:r>
        <w:rPr>
          <w:rFonts w:hint="eastAsia" w:ascii="仿宋_GB2312" w:hAnsi="仿宋_GB2312" w:eastAsia="仿宋_GB2312" w:cs="仿宋_GB2312"/>
          <w:b/>
          <w:bCs/>
          <w:sz w:val="32"/>
          <w:szCs w:val="32"/>
          <w:highlight w:val="none"/>
        </w:rPr>
        <w:t>服务</w:t>
      </w:r>
      <w:r>
        <w:rPr>
          <w:rFonts w:hint="eastAsia" w:ascii="仿宋_GB2312" w:hAnsi="仿宋_GB2312" w:eastAsia="仿宋_GB2312" w:cs="仿宋_GB2312"/>
          <w:b/>
          <w:bCs/>
          <w:sz w:val="32"/>
          <w:szCs w:val="32"/>
          <w:highlight w:val="none"/>
          <w:lang w:eastAsia="zh-CN"/>
        </w:rPr>
        <w:t>需求</w:t>
      </w:r>
    </w:p>
    <w:p>
      <w:pPr>
        <w:spacing w:line="600" w:lineRule="exact"/>
        <w:ind w:firstLine="640" w:firstLineChars="200"/>
        <w:rPr>
          <w:rFonts w:hint="eastAsia" w:ascii="楷体_GB2312" w:hAnsi="仿宋_GB2312" w:eastAsia="仿宋_GB2312" w:cs="仿宋_GB2312"/>
          <w:sz w:val="32"/>
          <w:szCs w:val="32"/>
          <w:lang w:eastAsia="zh-CN"/>
        </w:rPr>
      </w:pPr>
      <w:r>
        <w:rPr>
          <w:rFonts w:hint="eastAsia" w:ascii="仿宋_GB2312" w:hAnsi="仿宋_GB2312" w:eastAsia="仿宋_GB2312" w:cs="仿宋_GB2312"/>
          <w:sz w:val="32"/>
          <w:szCs w:val="32"/>
        </w:rPr>
        <w:t>1、本次债券申报和发行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按照证券交易所的要求，对发行人开展尽职调查，并出具《法律意见书》</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如有需要，须</w:t>
      </w:r>
      <w:r>
        <w:rPr>
          <w:rFonts w:hint="eastAsia" w:ascii="仿宋_GB2312" w:hAnsi="仿宋_GB2312" w:eastAsia="仿宋_GB2312" w:cs="仿宋_GB2312"/>
          <w:sz w:val="32"/>
          <w:szCs w:val="32"/>
        </w:rPr>
        <w:t>协助起草</w:t>
      </w:r>
      <w:r>
        <w:rPr>
          <w:rFonts w:hint="eastAsia" w:ascii="仿宋_GB2312" w:hAnsi="仿宋_GB2312" w:eastAsia="仿宋_GB2312" w:cs="仿宋_GB2312"/>
          <w:sz w:val="32"/>
          <w:szCs w:val="32"/>
          <w:lang w:eastAsia="zh-CN"/>
        </w:rPr>
        <w:t>本次债券</w:t>
      </w:r>
      <w:r>
        <w:rPr>
          <w:rFonts w:hint="eastAsia" w:ascii="仿宋_GB2312" w:hAnsi="仿宋_GB2312" w:eastAsia="仿宋_GB2312" w:cs="仿宋_GB2312"/>
          <w:sz w:val="32"/>
          <w:szCs w:val="32"/>
        </w:rPr>
        <w:t>受托管理协议</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持有人会议规则等相关法律文件</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在本次债券申报和发行过程中根据需要提供律师见证服务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、协助完成</w:t>
      </w:r>
      <w:r>
        <w:rPr>
          <w:rFonts w:hint="eastAsia" w:ascii="仿宋_GB2312" w:hAnsi="仿宋_GB2312" w:eastAsia="仿宋_GB2312" w:cs="仿宋_GB2312"/>
          <w:sz w:val="32"/>
          <w:szCs w:val="32"/>
          <w:lang w:eastAsia="zh-CN"/>
        </w:rPr>
        <w:t>证券</w:t>
      </w:r>
      <w:r>
        <w:rPr>
          <w:rFonts w:hint="eastAsia" w:ascii="仿宋_GB2312" w:hAnsi="仿宋_GB2312" w:eastAsia="仿宋_GB2312" w:cs="仿宋_GB2312"/>
          <w:sz w:val="32"/>
          <w:szCs w:val="32"/>
        </w:rPr>
        <w:t>交易所反馈材料准备工作</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、在本次债券申报和发行过程中配合其他中介机构开展法律服务工作；依据证券交易所的要求，提供本次债券申报和发行所需的其他法律服务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、对本次债券申报和发行过程中涉及的各方面法律问题，进行法律分析、风险提示并提出解决方案；在本次债券存续期内，提供相关法律咨询服务等。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三、</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参与此次</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、持有律师事务所执业许可证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在河南省内有分支机构或办公地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具有从事证券法律业务能力的律师事务所；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、未</w:t>
      </w:r>
      <w:r>
        <w:rPr>
          <w:rFonts w:hint="eastAsia" w:ascii="仿宋_GB2312" w:hAnsi="仿宋_GB2312" w:eastAsia="仿宋_GB2312" w:cs="仿宋_GB2312"/>
          <w:sz w:val="32"/>
          <w:szCs w:val="32"/>
          <w:lang w:val="en-US" w:eastAsia="zh-CN"/>
        </w:rPr>
        <w:t>被列入经营异常名录或者严重违法失信名单、失信被执行人，重大税收违法案件当事人名单、政府采购严重违法失信行为记录名单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四、</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按照询比采购文件第五章要求提供。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五、</w:t>
      </w:r>
      <w:r>
        <w:rPr>
          <w:rFonts w:hint="eastAsia" w:ascii="仿宋_GB2312" w:hAnsi="仿宋_GB2312" w:eastAsia="仿宋_GB2312" w:cs="仿宋_GB2312"/>
          <w:b/>
          <w:bCs w:val="0"/>
          <w:sz w:val="32"/>
          <w:szCs w:val="32"/>
          <w:highlight w:val="none"/>
          <w:lang w:eastAsia="zh-CN"/>
        </w:rPr>
        <w:t>投标</w:t>
      </w:r>
      <w:r>
        <w:rPr>
          <w:rFonts w:hint="eastAsia" w:ascii="仿宋_GB2312" w:hAnsi="仿宋_GB2312" w:eastAsia="仿宋_GB2312" w:cs="仿宋_GB2312"/>
          <w:b/>
          <w:bCs w:val="0"/>
          <w:sz w:val="32"/>
          <w:szCs w:val="32"/>
          <w:highlight w:val="none"/>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17:00</w:t>
      </w:r>
      <w:r>
        <w:rPr>
          <w:rFonts w:hint="eastAsia" w:ascii="仿宋_GB2312" w:hAnsi="仿宋_GB2312" w:eastAsia="仿宋_GB2312" w:cs="仿宋_GB2312"/>
          <w:sz w:val="32"/>
          <w:szCs w:val="32"/>
          <w:highlight w:val="none"/>
        </w:rPr>
        <w:t>前将</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送达（邮寄）</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b w:val="0"/>
          <w:bCs/>
          <w:sz w:val="32"/>
          <w:szCs w:val="32"/>
          <w:highlight w:val="none"/>
          <w:lang w:eastAsia="zh-CN"/>
        </w:rPr>
        <w:t>许昌市建安大道东段财政综合大楼</w:t>
      </w:r>
      <w:r>
        <w:rPr>
          <w:rFonts w:hint="eastAsia" w:ascii="仿宋_GB2312" w:hAnsi="仿宋_GB2312" w:eastAsia="仿宋_GB2312" w:cs="仿宋_GB2312"/>
          <w:b w:val="0"/>
          <w:bCs/>
          <w:sz w:val="32"/>
          <w:szCs w:val="32"/>
          <w:highlight w:val="none"/>
          <w:lang w:val="en-US" w:eastAsia="zh-CN"/>
        </w:rPr>
        <w:t>816房间</w:t>
      </w:r>
      <w:r>
        <w:rPr>
          <w:rFonts w:hint="eastAsia" w:ascii="仿宋_GB2312" w:hAnsi="仿宋_GB2312" w:eastAsia="仿宋_GB2312" w:cs="仿宋_GB2312"/>
          <w:sz w:val="32"/>
          <w:szCs w:val="32"/>
          <w:highlight w:val="none"/>
          <w:lang w:eastAsia="zh-CN"/>
        </w:rPr>
        <w:t>许昌市城投发展集团有限公司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六、</w:t>
      </w:r>
      <w:r>
        <w:rPr>
          <w:rFonts w:hint="eastAsia" w:ascii="仿宋_GB2312" w:hAnsi="仿宋_GB2312" w:eastAsia="仿宋_GB2312" w:cs="仿宋_GB2312"/>
          <w:b/>
          <w:bCs w:val="0"/>
          <w:sz w:val="32"/>
          <w:szCs w:val="32"/>
          <w:highlight w:val="none"/>
          <w:lang w:eastAsia="zh-CN"/>
        </w:rPr>
        <w:t>询比采购</w:t>
      </w:r>
      <w:r>
        <w:rPr>
          <w:rFonts w:hint="eastAsia" w:ascii="仿宋_GB2312" w:hAnsi="仿宋_GB2312" w:eastAsia="仿宋_GB2312" w:cs="仿宋_GB2312"/>
          <w:b/>
          <w:bCs w:val="0"/>
          <w:sz w:val="32"/>
          <w:szCs w:val="32"/>
          <w:highlight w:val="none"/>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遵循公正、公平的原则，严格按照法律法规要求进行</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采用综合评分法，按得分由高到低确定候选人，如最高得分为两家或两家以上时，由</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七、注意事项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人须按照要求提供</w:t>
      </w:r>
      <w:r>
        <w:rPr>
          <w:rFonts w:hint="eastAsia" w:ascii="仿宋_GB2312" w:hAnsi="仿宋_GB2312" w:eastAsia="仿宋_GB2312" w:cs="仿宋_GB2312"/>
          <w:sz w:val="32"/>
          <w:szCs w:val="32"/>
          <w:highlight w:val="none"/>
          <w:lang w:eastAsia="zh-CN"/>
        </w:rPr>
        <w:t>投标</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、如</w:t>
      </w:r>
      <w:r>
        <w:rPr>
          <w:rFonts w:hint="eastAsia" w:ascii="仿宋_GB2312" w:hAnsi="仿宋_GB2312" w:eastAsia="仿宋_GB2312" w:cs="仿宋_GB2312"/>
          <w:sz w:val="32"/>
          <w:szCs w:val="32"/>
          <w:highlight w:val="none"/>
          <w:lang w:eastAsia="zh-CN"/>
        </w:rPr>
        <w:t>中标人</w:t>
      </w:r>
      <w:r>
        <w:rPr>
          <w:rFonts w:hint="eastAsia" w:ascii="仿宋_GB2312" w:hAnsi="仿宋_GB2312" w:eastAsia="仿宋_GB2312" w:cs="仿宋_GB2312"/>
          <w:sz w:val="32"/>
          <w:szCs w:val="32"/>
          <w:highlight w:val="none"/>
        </w:rPr>
        <w:t>在以后合作期间出现破产、被责令停业、严重违规和违法行为、被列入“失信被执行人名单”等影响合作的行为，</w:t>
      </w:r>
      <w:r>
        <w:rPr>
          <w:rFonts w:hint="eastAsia" w:ascii="仿宋_GB2312" w:hAnsi="仿宋_GB2312" w:eastAsia="仿宋_GB2312" w:cs="仿宋_GB2312"/>
          <w:sz w:val="32"/>
          <w:szCs w:val="32"/>
          <w:highlight w:val="none"/>
          <w:lang w:eastAsia="zh-CN"/>
        </w:rPr>
        <w:t>询比采购</w:t>
      </w:r>
      <w:r>
        <w:rPr>
          <w:rFonts w:hint="eastAsia" w:ascii="仿宋_GB2312" w:hAnsi="仿宋_GB2312" w:eastAsia="仿宋_GB2312" w:cs="仿宋_GB2312"/>
          <w:sz w:val="32"/>
          <w:szCs w:val="32"/>
          <w:highlight w:val="none"/>
        </w:rPr>
        <w:t>人有权选用其他</w:t>
      </w:r>
      <w:r>
        <w:rPr>
          <w:rFonts w:hint="eastAsia" w:ascii="仿宋_GB2312" w:hAnsi="仿宋_GB2312" w:eastAsia="仿宋_GB2312" w:cs="仿宋_GB2312"/>
          <w:sz w:val="32"/>
          <w:szCs w:val="32"/>
          <w:highlight w:val="none"/>
          <w:lang w:eastAsia="zh-CN"/>
        </w:rPr>
        <w:t>律师事务所</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eastAsia="zh-CN"/>
        </w:rPr>
        <w:t>八、询比采购控制价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根据第三方机构出具的询比采购控制价报告，本次债券申报和发行专项法律服务询比采购控制价为不超过</w:t>
      </w:r>
      <w:r>
        <w:rPr>
          <w:rFonts w:hint="eastAsia" w:ascii="仿宋_GB2312" w:hAnsi="仿宋_GB2312" w:eastAsia="仿宋_GB2312" w:cs="仿宋_GB2312"/>
          <w:sz w:val="32"/>
          <w:szCs w:val="32"/>
          <w:highlight w:val="none"/>
          <w:lang w:val="en-US" w:eastAsia="zh-CN"/>
        </w:rPr>
        <w:t>10.50万元。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w:t>
      </w:r>
      <w:r>
        <w:rPr>
          <w:rFonts w:hint="eastAsia" w:ascii="仿宋_GB2312" w:hAnsi="仿宋_GB2312" w:eastAsia="仿宋_GB2312" w:cs="仿宋_GB2312"/>
          <w:sz w:val="32"/>
          <w:szCs w:val="32"/>
          <w:highlight w:val="none"/>
          <w:lang w:val="en-US" w:eastAsia="zh-CN"/>
        </w:rPr>
        <w:t>本次询比采购公告在许昌市城投发展集团有限公司官网（网</w:t>
      </w:r>
      <w:r>
        <w:rPr>
          <w:rFonts w:hint="eastAsia" w:ascii="仿宋_GB2312" w:hAnsi="仿宋_GB2312" w:eastAsia="仿宋_GB2312" w:cs="仿宋_GB2312"/>
          <w:sz w:val="32"/>
          <w:szCs w:val="32"/>
          <w:highlight w:val="none"/>
          <w:lang w:eastAsia="zh-CN"/>
        </w:rPr>
        <w:t>站地址：www.xcsct.cn）发布。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sz w:val="32"/>
          <w:szCs w:val="32"/>
          <w:highlight w:val="none"/>
          <w:lang w:val="en-US" w:eastAsia="zh-CN"/>
        </w:rPr>
      </w:pPr>
      <w:bookmarkStart w:id="0" w:name="_Toc28359008"/>
      <w:bookmarkEnd w:id="0"/>
      <w:bookmarkStart w:id="1" w:name="_Toc35393627"/>
      <w:bookmarkEnd w:id="1"/>
      <w:bookmarkStart w:id="2" w:name="_Toc35393796"/>
      <w:bookmarkEnd w:id="2"/>
      <w:bookmarkStart w:id="3" w:name="_Toc35393795"/>
      <w:bookmarkEnd w:id="3"/>
      <w:bookmarkStart w:id="4" w:name="_Toc28359085"/>
      <w:bookmarkEnd w:id="4"/>
      <w:bookmarkStart w:id="5" w:name="_Toc35393626"/>
      <w:bookmarkEnd w:id="5"/>
      <w:r>
        <w:rPr>
          <w:rFonts w:hint="eastAsia" w:ascii="仿宋_GB2312" w:hAnsi="仿宋_GB2312" w:eastAsia="仿宋_GB2312" w:cs="仿宋_GB2312"/>
          <w:b/>
          <w:bCs w:val="0"/>
          <w:sz w:val="32"/>
          <w:szCs w:val="32"/>
          <w:highlight w:val="none"/>
          <w:lang w:val="en-US" w:eastAsia="zh-CN"/>
        </w:rPr>
        <w:t>十、联系方式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sz w:val="32"/>
          <w:szCs w:val="32"/>
          <w:highlight w:val="none"/>
          <w:lang w:val="en-GB" w:eastAsia="zh-CN"/>
        </w:rPr>
      </w:pPr>
      <w:r>
        <w:rPr>
          <w:rFonts w:hint="eastAsia" w:ascii="仿宋_GB2312" w:hAnsi="仿宋_GB2312" w:eastAsia="仿宋_GB2312" w:cs="仿宋_GB2312"/>
          <w:b w:val="0"/>
          <w:bCs/>
          <w:sz w:val="32"/>
          <w:szCs w:val="32"/>
          <w:highlight w:val="none"/>
          <w:lang w:val="en-US" w:eastAsia="zh-CN"/>
        </w:rPr>
        <w:t>询比采购人</w:t>
      </w:r>
      <w:r>
        <w:rPr>
          <w:rFonts w:hint="eastAsia" w:ascii="仿宋_GB2312" w:hAnsi="仿宋_GB2312" w:eastAsia="仿宋_GB2312" w:cs="仿宋_GB2312"/>
          <w:b w:val="0"/>
          <w:bCs/>
          <w:sz w:val="32"/>
          <w:szCs w:val="32"/>
          <w:highlight w:val="none"/>
          <w:lang w:val="en-GB" w:eastAsia="zh-CN"/>
        </w:rPr>
        <w:t>：许昌市城投发展集团有限公司</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地</w:t>
      </w:r>
      <w:r>
        <w:rPr>
          <w:rFonts w:hint="eastAsia" w:ascii="仿宋_GB2312" w:hAnsi="仿宋_GB2312" w:eastAsia="仿宋_GB2312" w:cs="仿宋_GB2312"/>
          <w:b w:val="0"/>
          <w:bCs/>
          <w:spacing w:val="20"/>
          <w:sz w:val="32"/>
          <w:szCs w:val="32"/>
          <w:highlight w:val="none"/>
          <w:lang w:eastAsia="zh-CN"/>
        </w:rPr>
        <w:t xml:space="preserve">  </w:t>
      </w:r>
      <w:r>
        <w:rPr>
          <w:rFonts w:hint="eastAsia" w:ascii="仿宋_GB2312" w:hAnsi="仿宋_GB2312" w:eastAsia="仿宋_GB2312" w:cs="仿宋_GB2312"/>
          <w:b w:val="0"/>
          <w:bCs/>
          <w:spacing w:val="20"/>
          <w:sz w:val="32"/>
          <w:szCs w:val="32"/>
          <w:highlight w:val="none"/>
          <w:lang w:val="en-US" w:eastAsia="zh-CN"/>
        </w:rPr>
        <w:t xml:space="preserve"> </w:t>
      </w:r>
      <w:r>
        <w:rPr>
          <w:rFonts w:hint="eastAsia" w:ascii="仿宋_GB2312" w:hAnsi="仿宋_GB2312" w:eastAsia="仿宋_GB2312" w:cs="仿宋_GB2312"/>
          <w:b w:val="0"/>
          <w:bCs/>
          <w:spacing w:val="20"/>
          <w:sz w:val="32"/>
          <w:szCs w:val="32"/>
          <w:highlight w:val="none"/>
          <w:lang w:eastAsia="zh-CN"/>
        </w:rPr>
        <w:t xml:space="preserve"> </w:t>
      </w:r>
      <w:r>
        <w:rPr>
          <w:rFonts w:hint="eastAsia" w:ascii="仿宋_GB2312" w:hAnsi="仿宋_GB2312" w:eastAsia="仿宋_GB2312" w:cs="仿宋_GB2312"/>
          <w:b w:val="0"/>
          <w:bCs/>
          <w:spacing w:val="20"/>
          <w:sz w:val="32"/>
          <w:szCs w:val="32"/>
          <w:highlight w:val="none"/>
          <w:lang w:val="en-GB" w:eastAsia="zh-CN"/>
        </w:rPr>
        <w:t>址：</w:t>
      </w:r>
      <w:r>
        <w:rPr>
          <w:rFonts w:hint="eastAsia" w:ascii="仿宋_GB2312" w:hAnsi="仿宋_GB2312" w:eastAsia="仿宋_GB2312" w:cs="仿宋_GB2312"/>
          <w:b w:val="0"/>
          <w:bCs/>
          <w:sz w:val="32"/>
          <w:szCs w:val="32"/>
          <w:highlight w:val="none"/>
          <w:lang w:eastAsia="zh-CN"/>
        </w:rPr>
        <w:t>许昌市建安大道东段财政综合大楼</w:t>
      </w:r>
      <w:r>
        <w:rPr>
          <w:rFonts w:hint="eastAsia" w:ascii="仿宋_GB2312" w:hAnsi="仿宋_GB2312" w:eastAsia="仿宋_GB2312" w:cs="仿宋_GB2312"/>
          <w:b w:val="0"/>
          <w:bCs/>
          <w:sz w:val="32"/>
          <w:szCs w:val="32"/>
          <w:highlight w:val="none"/>
          <w:lang w:val="en-US" w:eastAsia="zh-CN"/>
        </w:rPr>
        <w:t>816房间</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联 系 人：</w:t>
      </w:r>
      <w:r>
        <w:rPr>
          <w:rFonts w:hint="eastAsia" w:ascii="仿宋_GB2312" w:hAnsi="仿宋_GB2312" w:eastAsia="仿宋_GB2312" w:cs="仿宋_GB2312"/>
          <w:b w:val="0"/>
          <w:bCs/>
          <w:sz w:val="32"/>
          <w:szCs w:val="32"/>
          <w:highlight w:val="none"/>
          <w:lang w:val="en-US" w:eastAsia="zh-CN"/>
        </w:rPr>
        <w:t>秦女士</w:t>
      </w:r>
    </w:p>
    <w:p>
      <w:pPr>
        <w:keepNext w:val="0"/>
        <w:keepLines w:val="0"/>
        <w:pageBreakBefore w:val="0"/>
        <w:widowControl w:val="0"/>
        <w:kinsoku/>
        <w:wordWrap/>
        <w:overflowPunct/>
        <w:topLinePunct w:val="0"/>
        <w:autoSpaceDE/>
        <w:autoSpaceDN/>
        <w:bidi w:val="0"/>
        <w:adjustRightInd/>
        <w:snapToGrid/>
        <w:spacing w:line="580" w:lineRule="exact"/>
        <w:ind w:firstLine="72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pacing w:val="20"/>
          <w:sz w:val="32"/>
          <w:szCs w:val="32"/>
          <w:highlight w:val="none"/>
          <w:lang w:val="en-GB" w:eastAsia="zh-CN"/>
        </w:rPr>
        <w:t>联系电话：</w:t>
      </w:r>
      <w:r>
        <w:rPr>
          <w:rFonts w:hint="eastAsia" w:ascii="仿宋_GB2312" w:hAnsi="仿宋_GB2312" w:eastAsia="仿宋_GB2312" w:cs="仿宋_GB2312"/>
          <w:b w:val="0"/>
          <w:bCs/>
          <w:sz w:val="32"/>
          <w:szCs w:val="32"/>
          <w:highlight w:val="none"/>
          <w:lang w:val="en-US" w:eastAsia="zh-CN"/>
        </w:rPr>
        <w:t>0374-2699026</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 w:hAnsi="仿宋" w:eastAsia="仿宋" w:cs="仿宋"/>
          <w:b w:val="0"/>
          <w:bCs/>
          <w:color w:val="auto"/>
          <w:sz w:val="24"/>
          <w:szCs w:val="24"/>
          <w:highlight w:val="none"/>
          <w:lang w:val="en-US" w:eastAsia="zh-CN"/>
        </w:rPr>
      </w:pPr>
    </w:p>
    <w:p>
      <w:pPr>
        <w:pStyle w:val="26"/>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TW"/>
        </w:rPr>
      </w:pP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lang w:eastAsia="zh-TW"/>
        </w:rPr>
        <w:t>、本项目需实现的功能或者目标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询比采购人拟通过证券交易所申请非公开发行总额不超过</w:t>
      </w:r>
      <w:r>
        <w:rPr>
          <w:rFonts w:hint="eastAsia" w:ascii="仿宋_GB2312" w:hAnsi="仿宋_GB2312" w:eastAsia="仿宋_GB2312" w:cs="仿宋_GB2312"/>
          <w:sz w:val="32"/>
          <w:szCs w:val="32"/>
          <w:highlight w:val="none"/>
          <w:lang w:val="en-US" w:eastAsia="zh-CN"/>
        </w:rPr>
        <w:t>20亿元（含20亿元）人民币、债券期限不超过5年（含5年）的</w:t>
      </w:r>
      <w:r>
        <w:rPr>
          <w:rFonts w:hint="eastAsia" w:ascii="仿宋_GB2312" w:hAnsi="仿宋_GB2312" w:eastAsia="仿宋_GB2312" w:cs="仿宋_GB2312"/>
          <w:sz w:val="32"/>
          <w:szCs w:val="32"/>
          <w:highlight w:val="none"/>
          <w:lang w:eastAsia="zh-CN"/>
        </w:rPr>
        <w:t>公司债券</w:t>
      </w:r>
      <w:r>
        <w:rPr>
          <w:rFonts w:hint="eastAsia" w:ascii="仿宋_GB2312" w:hAnsi="仿宋_GB2312" w:eastAsia="仿宋_GB2312" w:cs="仿宋_GB2312"/>
          <w:sz w:val="32"/>
          <w:szCs w:val="32"/>
          <w:highlight w:val="none"/>
          <w:lang w:val="en-US" w:eastAsia="zh-CN"/>
        </w:rPr>
        <w:t>，为有序推进债券申报注册发行工作，</w:t>
      </w:r>
      <w:r>
        <w:rPr>
          <w:rFonts w:hint="eastAsia" w:ascii="仿宋_GB2312" w:hAnsi="仿宋_GB2312" w:eastAsia="仿宋_GB2312" w:cs="仿宋_GB2312"/>
          <w:sz w:val="32"/>
          <w:szCs w:val="32"/>
          <w:lang w:val="zh-CN" w:eastAsia="zh-CN"/>
        </w:rPr>
        <w:t>律师事务所须为该债券申报和发行提供专项法律服务，保证出具的《法律意见书》符合证券交易所对该债券申报和发行审核要求，在该债券存续期内，对其提供其他必要法律服务。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lang w:val="zh-CN" w:eastAsia="zh-CN"/>
        </w:rPr>
        <w:t>、服务内容：</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eastAsia="zh-CN"/>
        </w:rPr>
        <w:t>人应完成以下服务内容（包括但不限于）</w:t>
      </w:r>
    </w:p>
    <w:p>
      <w:pPr>
        <w:spacing w:line="600" w:lineRule="exact"/>
        <w:ind w:firstLine="640" w:firstLineChars="200"/>
        <w:rPr>
          <w:rFonts w:hint="eastAsia" w:ascii="楷体_GB2312" w:hAnsi="仿宋_GB2312" w:eastAsia="仿宋_GB2312" w:cs="仿宋_GB2312"/>
          <w:sz w:val="32"/>
          <w:szCs w:val="32"/>
          <w:lang w:eastAsia="zh-CN"/>
        </w:rPr>
      </w:pPr>
      <w:r>
        <w:rPr>
          <w:rFonts w:hint="eastAsia" w:ascii="仿宋_GB2312" w:hAnsi="仿宋_GB2312" w:eastAsia="仿宋_GB2312" w:cs="仿宋_GB2312"/>
          <w:sz w:val="32"/>
          <w:szCs w:val="32"/>
        </w:rPr>
        <w:t>1、本次债券申报和发行</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按照证券交易所的要求，对发行人开展尽职调查，并出具《法律意见书》</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如有需要，须</w:t>
      </w:r>
      <w:r>
        <w:rPr>
          <w:rFonts w:hint="eastAsia" w:ascii="仿宋_GB2312" w:hAnsi="仿宋_GB2312" w:eastAsia="仿宋_GB2312" w:cs="仿宋_GB2312"/>
          <w:sz w:val="32"/>
          <w:szCs w:val="32"/>
        </w:rPr>
        <w:t>协助起草</w:t>
      </w:r>
      <w:r>
        <w:rPr>
          <w:rFonts w:hint="eastAsia" w:ascii="仿宋_GB2312" w:hAnsi="仿宋_GB2312" w:eastAsia="仿宋_GB2312" w:cs="仿宋_GB2312"/>
          <w:sz w:val="32"/>
          <w:szCs w:val="32"/>
          <w:lang w:eastAsia="zh-CN"/>
        </w:rPr>
        <w:t>本次债券</w:t>
      </w:r>
      <w:r>
        <w:rPr>
          <w:rFonts w:hint="eastAsia" w:ascii="仿宋_GB2312" w:hAnsi="仿宋_GB2312" w:eastAsia="仿宋_GB2312" w:cs="仿宋_GB2312"/>
          <w:sz w:val="32"/>
          <w:szCs w:val="32"/>
        </w:rPr>
        <w:t>受托管理协议</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持有人会议规则等相关法律文件</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在本次债券申报和发行过程中根据需要提供律师见证服务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、协助完成</w:t>
      </w:r>
      <w:r>
        <w:rPr>
          <w:rFonts w:hint="eastAsia" w:ascii="仿宋_GB2312" w:hAnsi="仿宋_GB2312" w:eastAsia="仿宋_GB2312" w:cs="仿宋_GB2312"/>
          <w:sz w:val="32"/>
          <w:szCs w:val="32"/>
          <w:lang w:eastAsia="zh-CN"/>
        </w:rPr>
        <w:t>证券</w:t>
      </w:r>
      <w:r>
        <w:rPr>
          <w:rFonts w:hint="eastAsia" w:ascii="仿宋_GB2312" w:hAnsi="仿宋_GB2312" w:eastAsia="仿宋_GB2312" w:cs="仿宋_GB2312"/>
          <w:sz w:val="32"/>
          <w:szCs w:val="32"/>
        </w:rPr>
        <w:t>交易所反馈材料准备工作</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、在本次债券申报和发行过程中配合其他中介机构开展法律服务工作；依据证券交易所的要求，提供本次债券申报和发行所需的其他法律服务</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、对本次债券申报和发行过程中涉及的各方面法律问题，进行法律分析、风险提示并提出解决方案；在本次债券存续期内，提供相关法律咨询服务等。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服务内容中所列要求为最低要求，不允许负偏离，否则将承担其投标被视为非实质性响应投标的风险。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eastAsia="zh-TW"/>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根据本次债券申报和发行时间要求在规定时间内完成《法律意见书》出具（更新）工作，不得因《法律意见书》原因导致本次债券延迟（长）申报和发行时间。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以上技术要求</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TW"/>
        </w:rPr>
      </w:pPr>
      <w:r>
        <w:rPr>
          <w:rFonts w:hint="eastAsia" w:ascii="仿宋_GB2312" w:hAnsi="仿宋_GB2312" w:eastAsia="仿宋_GB2312" w:cs="仿宋_GB2312"/>
          <w:sz w:val="32"/>
          <w:szCs w:val="32"/>
          <w:highlight w:val="none"/>
          <w:lang w:eastAsia="zh-TW"/>
        </w:rPr>
        <w:t>因中标人的过失，给</w:t>
      </w:r>
      <w:r>
        <w:rPr>
          <w:rFonts w:hint="eastAsia" w:ascii="仿宋_GB2312" w:hAnsi="仿宋_GB2312" w:eastAsia="仿宋_GB2312" w:cs="仿宋_GB2312"/>
          <w:sz w:val="32"/>
          <w:szCs w:val="32"/>
          <w:highlight w:val="none"/>
          <w:lang w:eastAsia="zh-CN"/>
        </w:rPr>
        <w:t>询比采购人</w:t>
      </w:r>
      <w:r>
        <w:rPr>
          <w:rFonts w:hint="eastAsia" w:ascii="仿宋_GB2312" w:hAnsi="仿宋_GB2312" w:eastAsia="仿宋_GB2312" w:cs="仿宋_GB2312"/>
          <w:sz w:val="32"/>
          <w:szCs w:val="32"/>
          <w:highlight w:val="none"/>
          <w:lang w:eastAsia="zh-TW"/>
        </w:rPr>
        <w:t>造成经济损失的，应当依法赔偿</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eastAsia="zh-TW"/>
        </w:rPr>
      </w:pPr>
      <w:r>
        <w:rPr>
          <w:rFonts w:hint="eastAsia" w:ascii="仿宋_GB2312" w:hAnsi="仿宋_GB2312" w:eastAsia="仿宋_GB2312" w:cs="仿宋_GB2312"/>
          <w:b/>
          <w:bCs/>
          <w:sz w:val="32"/>
          <w:szCs w:val="32"/>
          <w:highlight w:val="none"/>
          <w:lang w:val="en-US" w:eastAsia="zh-CN"/>
        </w:rPr>
        <w:t>四、</w:t>
      </w:r>
      <w:r>
        <w:rPr>
          <w:rFonts w:hint="eastAsia" w:ascii="仿宋_GB2312" w:hAnsi="仿宋_GB2312" w:eastAsia="仿宋_GB2312" w:cs="仿宋_GB2312"/>
          <w:b/>
          <w:bCs/>
          <w:sz w:val="32"/>
          <w:szCs w:val="32"/>
          <w:highlight w:val="none"/>
          <w:lang w:eastAsia="zh-TW"/>
        </w:rPr>
        <w:t>釆购标的的其他技术、服务等要求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投标人</w:t>
      </w:r>
      <w:r>
        <w:rPr>
          <w:rFonts w:hint="eastAsia" w:ascii="仿宋_GB2312" w:hAnsi="仿宋_GB2312" w:eastAsia="仿宋_GB2312" w:cs="仿宋_GB2312"/>
          <w:sz w:val="32"/>
          <w:szCs w:val="32"/>
          <w:highlight w:val="none"/>
          <w:lang w:eastAsia="zh-TW"/>
        </w:rPr>
        <w:t>应就</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lang w:eastAsia="zh-TW"/>
        </w:rPr>
        <w:t>项目（每包或者标段）完整投标</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lang w:eastAsia="zh-TW"/>
        </w:rPr>
        <w:t>本项目为交钥匙工程，包含</w:t>
      </w:r>
      <w:r>
        <w:rPr>
          <w:rFonts w:hint="eastAsia" w:ascii="仿宋_GB2312" w:hAnsi="仿宋_GB2312" w:eastAsia="仿宋_GB2312" w:cs="仿宋_GB2312"/>
          <w:sz w:val="32"/>
          <w:szCs w:val="32"/>
          <w:lang w:eastAsia="zh-CN"/>
        </w:rPr>
        <w:t>本次债券申报和</w:t>
      </w:r>
      <w:r>
        <w:rPr>
          <w:rFonts w:hint="eastAsia" w:ascii="仿宋_GB2312" w:hAnsi="仿宋_GB2312" w:eastAsia="仿宋_GB2312" w:cs="仿宋_GB2312"/>
          <w:sz w:val="32"/>
          <w:szCs w:val="32"/>
          <w:lang w:eastAsia="zh-TW"/>
        </w:rPr>
        <w:t>发行等完成该项目</w:t>
      </w:r>
      <w:r>
        <w:rPr>
          <w:rFonts w:hint="eastAsia" w:ascii="仿宋_GB2312" w:hAnsi="仿宋_GB2312" w:eastAsia="仿宋_GB2312" w:cs="仿宋_GB2312"/>
          <w:sz w:val="32"/>
          <w:szCs w:val="32"/>
          <w:lang w:eastAsia="zh-CN"/>
        </w:rPr>
        <w:t>所需法律服务</w:t>
      </w:r>
      <w:r>
        <w:rPr>
          <w:rFonts w:hint="eastAsia" w:ascii="仿宋_GB2312" w:hAnsi="仿宋_GB2312" w:eastAsia="仿宋_GB2312" w:cs="仿宋_GB2312"/>
          <w:sz w:val="32"/>
          <w:szCs w:val="32"/>
          <w:lang w:eastAsia="zh-TW"/>
        </w:rPr>
        <w:t>的一切费用。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1、为本次债券申报和发行</w:t>
      </w:r>
      <w:r>
        <w:rPr>
          <w:rFonts w:hint="eastAsia" w:ascii="仿宋_GB2312" w:hAnsi="仿宋_GB2312" w:eastAsia="仿宋_GB2312" w:cs="仿宋_GB2312"/>
          <w:sz w:val="32"/>
          <w:szCs w:val="32"/>
          <w:lang w:eastAsia="zh-CN"/>
        </w:rPr>
        <w:t>出具《法律意见书》；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2、询比采购人取得证券交易所发出的债券批复文件；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本次债券</w:t>
      </w:r>
      <w:r>
        <w:rPr>
          <w:rFonts w:hint="eastAsia" w:ascii="仿宋_GB2312" w:hAnsi="仿宋_GB2312" w:eastAsia="仿宋_GB2312" w:cs="仿宋_GB2312"/>
          <w:sz w:val="32"/>
          <w:szCs w:val="32"/>
          <w:lang w:eastAsia="zh-TW"/>
        </w:rPr>
        <w:t>募集资金按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lang w:eastAsia="zh-TW"/>
        </w:rPr>
        <w:t>合同约定划入</w:t>
      </w:r>
      <w:r>
        <w:rPr>
          <w:rFonts w:hint="eastAsia" w:ascii="仿宋_GB2312" w:hAnsi="仿宋_GB2312" w:eastAsia="仿宋_GB2312" w:cs="仿宋_GB2312"/>
          <w:sz w:val="32"/>
          <w:szCs w:val="32"/>
          <w:lang w:eastAsia="zh-CN"/>
        </w:rPr>
        <w:t>询比采购人</w:t>
      </w:r>
      <w:r>
        <w:rPr>
          <w:rFonts w:hint="eastAsia" w:ascii="仿宋_GB2312" w:hAnsi="仿宋_GB2312" w:eastAsia="仿宋_GB2312" w:cs="仿宋_GB2312"/>
          <w:sz w:val="32"/>
          <w:szCs w:val="32"/>
          <w:lang w:eastAsia="zh-TW"/>
        </w:rPr>
        <w:t>监管银行账户</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sz w:val="32"/>
          <w:szCs w:val="32"/>
          <w:lang w:val="zh-CN" w:eastAsia="zh-CN"/>
        </w:rPr>
        <w:t>本项目专项法律服务费最高限价为</w:t>
      </w:r>
      <w:r>
        <w:rPr>
          <w:rFonts w:hint="eastAsia" w:ascii="仿宋_GB2312" w:hAnsi="仿宋_GB2312" w:eastAsia="仿宋_GB2312" w:cs="仿宋_GB2312"/>
          <w:sz w:val="32"/>
          <w:szCs w:val="32"/>
          <w:highlight w:val="none"/>
          <w:lang w:val="en-US" w:eastAsia="zh-CN"/>
        </w:rPr>
        <w:t>10.50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eastAsia="zh-CN"/>
        </w:rPr>
        <w:t>，超出最高限价的投标报价无效。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en-US" w:eastAsia="zh-CN"/>
        </w:rPr>
        <w:t>七、</w:t>
      </w:r>
      <w:r>
        <w:rPr>
          <w:rFonts w:hint="eastAsia" w:ascii="仿宋_GB2312" w:hAnsi="仿宋_GB2312" w:eastAsia="仿宋_GB2312" w:cs="仿宋_GB2312"/>
          <w:b/>
          <w:bCs/>
          <w:sz w:val="32"/>
          <w:szCs w:val="32"/>
          <w:highlight w:val="none"/>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TW"/>
        </w:rPr>
        <w:t>支付时间及条件：根据签订的本次债券法律服务合同约定执行。</w:t>
      </w:r>
    </w:p>
    <w:p>
      <w:pPr>
        <w:keepNext w:val="0"/>
        <w:keepLines w:val="0"/>
        <w:pageBreakBefore w:val="0"/>
        <w:kinsoku/>
        <w:wordWrap/>
        <w:overflowPunct/>
        <w:topLinePunct w:val="0"/>
        <w:autoSpaceDE/>
        <w:autoSpaceDN/>
        <w:bidi w:val="0"/>
        <w:adjustRightInd/>
        <w:snapToGrid/>
        <w:jc w:val="both"/>
        <w:textAlignment w:val="auto"/>
        <w:rPr>
          <w:rFonts w:hint="eastAsia" w:ascii="仿宋" w:hAnsi="仿宋" w:eastAsia="仿宋" w:cs="仿宋"/>
          <w:b/>
          <w:bCs/>
          <w:caps/>
          <w:color w:val="auto"/>
          <w:kern w:val="0"/>
          <w:sz w:val="40"/>
          <w:szCs w:val="40"/>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第三章 投标人须知</w:t>
      </w:r>
    </w:p>
    <w:tbl>
      <w:tblPr>
        <w:tblStyle w:val="28"/>
        <w:tblW w:w="9887" w:type="dxa"/>
        <w:jc w:val="center"/>
        <w:tblLayout w:type="autofit"/>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b/>
                <w:color w:val="auto"/>
                <w:sz w:val="24"/>
                <w:szCs w:val="24"/>
                <w:highlight w:val="none"/>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eastAsia="zh-CN"/>
              </w:rPr>
              <w:t>询比采购</w:t>
            </w:r>
            <w:r>
              <w:rPr>
                <w:rFonts w:hint="eastAsia" w:ascii="仿宋" w:hAnsi="仿宋" w:eastAsia="仿宋" w:cs="仿宋"/>
                <w:color w:val="auto"/>
                <w:sz w:val="24"/>
                <w:szCs w:val="24"/>
                <w:highlight w:val="none"/>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项目名称：</w:t>
            </w:r>
            <w:r>
              <w:rPr>
                <w:rFonts w:hint="eastAsia" w:ascii="仿宋" w:hAnsi="仿宋" w:eastAsia="仿宋" w:cs="仿宋"/>
                <w:color w:val="auto"/>
                <w:sz w:val="24"/>
                <w:szCs w:val="24"/>
                <w:highlight w:val="none"/>
                <w:lang w:val="zh-CN" w:eastAsia="zh-CN"/>
              </w:rPr>
              <w:t>许昌市城投发展集团有限公司2023年非公开发行公司债券专项法律服务询比采购项目</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RZB-2023005-1</w:t>
            </w:r>
            <w:r>
              <w:rPr>
                <w:rFonts w:hint="eastAsia" w:ascii="仿宋" w:hAnsi="仿宋" w:eastAsia="仿宋" w:cs="仿宋"/>
                <w:color w:val="auto"/>
                <w:sz w:val="24"/>
                <w:szCs w:val="24"/>
                <w:highlight w:val="none"/>
                <w:lang w:eastAsia="zh-CN"/>
              </w:rPr>
              <w:t xml:space="preserve">号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lang w:val="zh-CN"/>
              </w:rPr>
              <w:t>项目内容：</w:t>
            </w:r>
            <w:r>
              <w:rPr>
                <w:rFonts w:hint="eastAsia" w:ascii="仿宋" w:hAnsi="仿宋" w:eastAsia="仿宋" w:cs="仿宋"/>
                <w:color w:val="auto"/>
                <w:sz w:val="24"/>
                <w:szCs w:val="24"/>
                <w:highlight w:val="none"/>
                <w:lang w:val="zh-CN" w:eastAsia="zh-CN"/>
              </w:rPr>
              <w:t>许昌市城投发展集团有限公司拟通过证券交易所申请2023年非公开发行总额不超过20亿人民币（含20亿元）、债券期限不超过5年（含5年）的公司债券，为有序推进债券申报注册发行工作，律师事务所须为该债券申报和发行提供专项法律服务，保证出具的《法律意见书》符合证券交易所对该债券申报和发行审核要求，在该债券存续期内，对其提供其他必要法律服务。</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eastAsia="zh-CN"/>
              </w:rPr>
            </w:pPr>
            <w:r>
              <w:rPr>
                <w:rFonts w:hint="eastAsia" w:ascii="仿宋" w:hAnsi="仿宋" w:eastAsia="仿宋" w:cs="仿宋"/>
                <w:color w:val="auto"/>
                <w:sz w:val="24"/>
                <w:szCs w:val="24"/>
                <w:highlight w:val="none"/>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询比采购</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名称：许昌市城投发展集团有限公司</w:t>
            </w:r>
            <w:r>
              <w:rPr>
                <w:rFonts w:hint="eastAsia" w:ascii="仿宋" w:hAnsi="仿宋" w:eastAsia="仿宋" w:cs="仿宋"/>
                <w:color w:val="auto"/>
                <w:sz w:val="24"/>
                <w:szCs w:val="24"/>
                <w:highlight w:val="none"/>
                <w:shd w:val="clear" w:color="auto" w:fill="FFFFFF"/>
              </w:rPr>
              <w:t xml:space="preserve"> </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址：许昌市建安大道东段财政综合大楼</w:t>
            </w:r>
            <w:r>
              <w:rPr>
                <w:rFonts w:hint="eastAsia" w:ascii="仿宋" w:hAnsi="仿宋" w:eastAsia="仿宋" w:cs="仿宋"/>
                <w:bCs/>
                <w:color w:val="auto"/>
                <w:sz w:val="24"/>
                <w:szCs w:val="24"/>
                <w:highlight w:val="none"/>
                <w:lang w:val="en-US" w:eastAsia="zh-CN"/>
              </w:rPr>
              <w:t>816房间</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联 系 人：秦女士           </w:t>
            </w:r>
          </w:p>
          <w:p>
            <w:pPr>
              <w:autoSpaceDE w:val="0"/>
              <w:autoSpaceDN w:val="0"/>
              <w:adjustRightInd w:val="0"/>
              <w:spacing w:line="540" w:lineRule="exact"/>
              <w:ind w:right="-11" w:rightChars="0"/>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40000" w:fill="auto"/>
              </w:rPr>
              <w:t>★</w:t>
            </w:r>
            <w:r>
              <w:rPr>
                <w:rFonts w:hint="eastAsia" w:ascii="仿宋" w:hAnsi="仿宋" w:eastAsia="仿宋" w:cs="仿宋"/>
                <w:color w:val="auto"/>
                <w:sz w:val="24"/>
                <w:szCs w:val="24"/>
                <w:highlight w:val="none"/>
                <w:shd w:val="clear" w:color="040000" w:fill="auto"/>
                <w:lang w:eastAsia="zh-CN"/>
              </w:rPr>
              <w:t>投标人</w:t>
            </w:r>
            <w:r>
              <w:rPr>
                <w:rFonts w:hint="eastAsia" w:ascii="仿宋" w:hAnsi="仿宋" w:eastAsia="仿宋" w:cs="仿宋"/>
                <w:color w:val="auto"/>
                <w:sz w:val="24"/>
                <w:szCs w:val="24"/>
                <w:highlight w:val="none"/>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6"/>
              </w:numPr>
              <w:kinsoku/>
              <w:wordWrap/>
              <w:overflowPunct/>
              <w:topLinePunct w:val="0"/>
              <w:autoSpaceDE/>
              <w:autoSpaceDN/>
              <w:bidi w:val="0"/>
              <w:adjustRightInd/>
              <w:snapToGrid w:val="0"/>
              <w:spacing w:line="520" w:lineRule="exact"/>
              <w:jc w:val="both"/>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符合《中华人民共和国政府采购法》第二十二条规定</w:t>
            </w:r>
          </w:p>
          <w:p>
            <w:pPr>
              <w:keepNext w:val="0"/>
              <w:keepLines w:val="0"/>
              <w:pageBreakBefore w:val="0"/>
              <w:widowControl/>
              <w:numPr>
                <w:ilvl w:val="0"/>
                <w:numId w:val="6"/>
              </w:numPr>
              <w:kinsoku/>
              <w:wordWrap/>
              <w:overflowPunct/>
              <w:topLinePunct w:val="0"/>
              <w:autoSpaceDE/>
              <w:autoSpaceDN/>
              <w:bidi w:val="0"/>
              <w:adjustRightInd/>
              <w:snapToGrid w:val="0"/>
              <w:spacing w:line="520" w:lineRule="exact"/>
              <w:jc w:val="both"/>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特殊资格要求</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1、在中华人民共和国境内注册，具备独立法人资格，持有合法有效的企业法人营业执照；</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2、持有律师事务所执业许可证；在河南省内有分支机构或办公地；具有从事证券法律业务能力的律师事务所；</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3、近三年未因重大的执业质量等问题受到通报、处罚，没有处于破产、被责令停业或存在其他违法行为；</w:t>
            </w:r>
          </w:p>
          <w:p>
            <w:pPr>
              <w:keepNext w:val="0"/>
              <w:keepLines w:val="0"/>
              <w:pageBreakBefore w:val="0"/>
              <w:widowControl/>
              <w:kinsoku/>
              <w:wordWrap/>
              <w:overflowPunct/>
              <w:topLinePunct w:val="0"/>
              <w:autoSpaceDE/>
              <w:autoSpaceDN/>
              <w:bidi w:val="0"/>
              <w:adjustRightInd/>
              <w:spacing w:line="360" w:lineRule="auto"/>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4、未被列入经营异常名录或者严重违法失信名单、失信被执行人，重大税收违法案件当事人名单、政府采购严重违法失信行为记录名单。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本项目不接受联合体</w:t>
            </w:r>
            <w:r>
              <w:rPr>
                <w:rFonts w:hint="eastAsia" w:ascii="仿宋" w:hAnsi="仿宋" w:eastAsia="仿宋" w:cs="仿宋"/>
                <w:bCs/>
                <w:color w:val="auto"/>
                <w:sz w:val="24"/>
                <w:szCs w:val="24"/>
                <w:highlight w:val="none"/>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eastAsia="zh-CN"/>
              </w:rPr>
              <w:t>法律服务费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autoSpaceDE w:val="0"/>
              <w:autoSpaceDN w:val="0"/>
              <w:adjustRightInd w:val="0"/>
              <w:spacing w:line="540" w:lineRule="exact"/>
              <w:rPr>
                <w:rFonts w:hint="eastAsia" w:ascii="仿宋" w:hAnsi="仿宋" w:eastAsia="仿宋" w:cs="仿宋"/>
                <w:color w:val="auto"/>
                <w:sz w:val="24"/>
                <w:szCs w:val="24"/>
                <w:lang w:val="zh-CN"/>
              </w:rPr>
            </w:pPr>
            <w:r>
              <w:rPr>
                <w:rFonts w:hint="eastAsia" w:ascii="仿宋" w:hAnsi="仿宋" w:eastAsia="仿宋" w:cs="仿宋"/>
                <w:b/>
                <w:color w:val="auto"/>
                <w:sz w:val="24"/>
                <w:szCs w:val="24"/>
                <w:highlight w:val="none"/>
              </w:rPr>
              <w:t>最高限价：</w:t>
            </w:r>
            <w:r>
              <w:rPr>
                <w:rFonts w:hint="eastAsia" w:ascii="仿宋" w:hAnsi="仿宋" w:eastAsia="仿宋" w:cs="仿宋"/>
                <w:b w:val="0"/>
                <w:bCs/>
                <w:color w:val="auto"/>
                <w:sz w:val="24"/>
                <w:szCs w:val="24"/>
                <w:highlight w:val="none"/>
                <w:lang w:eastAsia="zh-CN"/>
              </w:rPr>
              <w:t>本项目专项法律服务费最高限价为10.50万元，超出最高限价的投标报价无效。</w:t>
            </w:r>
          </w:p>
          <w:p>
            <w:pPr>
              <w:numPr>
                <w:ilvl w:val="0"/>
                <w:numId w:val="0"/>
              </w:num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5"/>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w:t>
            </w:r>
            <w:r>
              <w:rPr>
                <w:rFonts w:hint="eastAsia" w:ascii="仿宋" w:hAnsi="仿宋" w:eastAsia="仿宋" w:cs="仿宋"/>
                <w:bCs/>
                <w:color w:val="auto"/>
                <w:sz w:val="24"/>
                <w:szCs w:val="24"/>
                <w:highlight w:val="none"/>
                <w:lang w:val="en-US" w:eastAsia="zh-CN"/>
              </w:rPr>
              <w:t>投标</w:t>
            </w:r>
            <w:r>
              <w:rPr>
                <w:rFonts w:hint="eastAsia" w:ascii="仿宋" w:hAnsi="仿宋" w:eastAsia="仿宋" w:cs="仿宋"/>
                <w:bCs/>
                <w:color w:val="auto"/>
                <w:sz w:val="24"/>
                <w:szCs w:val="24"/>
                <w:highlight w:val="none"/>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90天（自提交投标文件的截止之日起算）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rPr>
              <w:t>年</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lang w:val="zh-CN"/>
              </w:rPr>
              <w:t>月</w:t>
            </w:r>
            <w:r>
              <w:rPr>
                <w:rFonts w:hint="eastAsia" w:ascii="仿宋" w:hAnsi="仿宋" w:eastAsia="仿宋" w:cs="仿宋"/>
                <w:bCs/>
                <w:color w:val="auto"/>
                <w:sz w:val="24"/>
                <w:szCs w:val="24"/>
                <w:highlight w:val="none"/>
                <w:lang w:val="en-US" w:eastAsia="zh-CN"/>
              </w:rPr>
              <w:t>18</w:t>
            </w:r>
            <w:r>
              <w:rPr>
                <w:rFonts w:hint="eastAsia" w:ascii="仿宋" w:hAnsi="仿宋" w:eastAsia="仿宋" w:cs="仿宋"/>
                <w:bCs/>
                <w:color w:val="auto"/>
                <w:sz w:val="24"/>
                <w:szCs w:val="24"/>
                <w:highlight w:val="none"/>
                <w:lang w:val="zh-CN"/>
              </w:rPr>
              <w:t>日</w:t>
            </w:r>
            <w:r>
              <w:rPr>
                <w:rFonts w:hint="eastAsia" w:ascii="仿宋" w:hAnsi="仿宋" w:eastAsia="仿宋" w:cs="仿宋"/>
                <w:bCs/>
                <w:color w:val="auto"/>
                <w:sz w:val="24"/>
                <w:szCs w:val="24"/>
                <w:highlight w:val="none"/>
                <w:lang w:val="en-US" w:eastAsia="zh-CN"/>
              </w:rPr>
              <w:t>17</w:t>
            </w:r>
            <w:bookmarkStart w:id="9" w:name="_GoBack"/>
            <w:bookmarkEnd w:id="9"/>
            <w:r>
              <w:rPr>
                <w:rFonts w:hint="eastAsia" w:ascii="仿宋" w:hAnsi="仿宋" w:eastAsia="仿宋" w:cs="仿宋"/>
                <w:bCs/>
                <w:color w:val="auto"/>
                <w:sz w:val="24"/>
                <w:szCs w:val="24"/>
                <w:highlight w:val="none"/>
                <w:lang w:val="zh-CN"/>
              </w:rPr>
              <w:t>时</w:t>
            </w:r>
            <w:r>
              <w:rPr>
                <w:rFonts w:hint="eastAsia" w:ascii="仿宋" w:hAnsi="仿宋" w:eastAsia="仿宋" w:cs="仿宋"/>
                <w:bCs/>
                <w:color w:val="auto"/>
                <w:sz w:val="24"/>
                <w:szCs w:val="24"/>
                <w:highlight w:val="none"/>
                <w:lang w:val="en-US" w:eastAsia="zh-CN"/>
              </w:rPr>
              <w:t>00</w:t>
            </w:r>
            <w:r>
              <w:rPr>
                <w:rFonts w:hint="eastAsia" w:ascii="仿宋" w:hAnsi="仿宋" w:eastAsia="仿宋" w:cs="仿宋"/>
                <w:bCs/>
                <w:color w:val="auto"/>
                <w:sz w:val="24"/>
                <w:szCs w:val="24"/>
                <w:highlight w:val="none"/>
                <w:lang w:val="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eastAsia="zh-CN"/>
              </w:rPr>
              <w:t>许昌市建安大道东段财政综合大楼816房间许昌市城投发展集团有限公司</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lang w:val="en-US" w:eastAsia="zh-CN"/>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30000" w:fill="auto"/>
              </w:rPr>
            </w:pPr>
            <w:r>
              <w:rPr>
                <w:rFonts w:hint="eastAsia" w:ascii="仿宋" w:hAnsi="仿宋" w:eastAsia="仿宋" w:cs="仿宋"/>
                <w:color w:val="auto"/>
                <w:sz w:val="24"/>
                <w:szCs w:val="24"/>
                <w:highlight w:val="none"/>
                <w:shd w:val="clear" w:color="050000" w:fill="auto"/>
                <w:lang w:val="en-US" w:eastAsia="zh-CN"/>
              </w:rPr>
              <w:t>询比采购</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中标</w:t>
            </w:r>
            <w:r>
              <w:rPr>
                <w:rFonts w:hint="eastAsia" w:ascii="仿宋" w:hAnsi="仿宋" w:eastAsia="仿宋" w:cs="仿宋"/>
                <w:color w:val="auto"/>
                <w:sz w:val="24"/>
                <w:szCs w:val="24"/>
                <w:highlight w:val="none"/>
                <w:shd w:val="clear" w:color="050000" w:fill="auto"/>
              </w:rPr>
              <w:t>公告</w:t>
            </w:r>
            <w:r>
              <w:rPr>
                <w:rFonts w:hint="eastAsia" w:ascii="仿宋" w:hAnsi="仿宋" w:eastAsia="仿宋" w:cs="仿宋"/>
                <w:color w:val="auto"/>
                <w:sz w:val="24"/>
                <w:szCs w:val="24"/>
                <w:highlight w:val="none"/>
                <w:shd w:val="clear" w:color="050000" w:fill="auto"/>
                <w:lang w:eastAsia="zh-CN"/>
              </w:rPr>
              <w:t>、</w:t>
            </w:r>
            <w:r>
              <w:rPr>
                <w:rFonts w:hint="eastAsia" w:ascii="仿宋" w:hAnsi="仿宋" w:eastAsia="仿宋" w:cs="仿宋"/>
                <w:sz w:val="24"/>
                <w:szCs w:val="24"/>
                <w:highlight w:val="none"/>
              </w:rPr>
              <w:t>变更（更正）公告等相关信息同时在以下网站发布：</w:t>
            </w:r>
            <w:r>
              <w:rPr>
                <w:rFonts w:hint="eastAsia" w:ascii="仿宋" w:hAnsi="仿宋" w:eastAsia="仿宋" w:cs="仿宋"/>
                <w:color w:val="auto"/>
                <w:sz w:val="24"/>
                <w:szCs w:val="24"/>
                <w:highlight w:val="none"/>
                <w:shd w:val="clear" w:color="050000" w:fill="auto"/>
                <w:lang w:val="en-US" w:eastAsia="zh-CN"/>
              </w:rPr>
              <w:t>网</w:t>
            </w:r>
            <w:r>
              <w:rPr>
                <w:rFonts w:hint="eastAsia" w:ascii="仿宋" w:hAnsi="仿宋" w:eastAsia="仿宋" w:cs="仿宋"/>
                <w:color w:val="auto"/>
                <w:sz w:val="24"/>
                <w:szCs w:val="24"/>
                <w:highlight w:val="none"/>
                <w:shd w:val="clear" w:color="050000" w:fill="auto"/>
                <w:lang w:eastAsia="zh-CN"/>
              </w:rPr>
              <w:t>站地址：www.xcsct.cn</w:t>
            </w:r>
            <w:r>
              <w:rPr>
                <w:rFonts w:hint="eastAsia" w:ascii="仿宋" w:hAnsi="仿宋" w:eastAsia="仿宋" w:cs="仿宋"/>
                <w:sz w:val="24"/>
                <w:szCs w:val="24"/>
                <w:highlight w:val="none"/>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纸质投标文件：纸质版投标文件正本1份（需胶装并密封）</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sz w:val="24"/>
                <w:szCs w:val="24"/>
                <w:highlight w:val="none"/>
                <w:shd w:val="clear" w:color="050000" w:fill="auto"/>
              </w:rPr>
              <w:t>1</w:t>
            </w:r>
            <w:r>
              <w:rPr>
                <w:rFonts w:hint="eastAsia" w:ascii="仿宋" w:hAnsi="仿宋" w:eastAsia="仿宋" w:cs="仿宋"/>
                <w:color w:val="auto"/>
                <w:sz w:val="24"/>
                <w:szCs w:val="24"/>
                <w:highlight w:val="none"/>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电子投标文件：无要求</w:t>
            </w:r>
          </w:p>
          <w:p>
            <w:pPr>
              <w:autoSpaceDE w:val="0"/>
              <w:autoSpaceDN w:val="0"/>
              <w:adjustRightInd w:val="0"/>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fldChar w:fldCharType="begin"/>
            </w:r>
            <w:r>
              <w:rPr>
                <w:rFonts w:hint="eastAsia" w:ascii="仿宋" w:hAnsi="仿宋" w:eastAsia="仿宋" w:cs="仿宋"/>
                <w:bCs/>
                <w:color w:val="auto"/>
                <w:sz w:val="24"/>
                <w:szCs w:val="24"/>
                <w:highlight w:val="none"/>
                <w:lang w:val="zh-CN"/>
              </w:rPr>
              <w:instrText xml:space="preserve">eq \o\ac(</w:instrText>
            </w:r>
            <w:r>
              <w:rPr>
                <w:rFonts w:hint="eastAsia" w:ascii="仿宋" w:hAnsi="仿宋" w:eastAsia="仿宋" w:cs="仿宋"/>
                <w:bCs/>
                <w:color w:val="auto"/>
                <w:position w:val="-4"/>
                <w:sz w:val="36"/>
                <w:szCs w:val="24"/>
                <w:highlight w:val="none"/>
                <w:lang w:val="zh-CN"/>
              </w:rPr>
              <w:instrText xml:space="preserve">□</w:instrText>
            </w:r>
            <w:r>
              <w:rPr>
                <w:rFonts w:hint="eastAsia" w:ascii="仿宋" w:hAnsi="仿宋" w:eastAsia="仿宋" w:cs="仿宋"/>
                <w:bCs/>
                <w:color w:val="auto"/>
                <w:position w:val="0"/>
                <w:sz w:val="24"/>
                <w:szCs w:val="24"/>
                <w:highlight w:val="none"/>
                <w:lang w:val="zh-CN"/>
              </w:rPr>
              <w:instrText xml:space="preserve">,√)</w:instrText>
            </w:r>
            <w:r>
              <w:rPr>
                <w:rFonts w:hint="eastAsia" w:ascii="仿宋" w:hAnsi="仿宋" w:eastAsia="仿宋" w:cs="仿宋"/>
                <w:bCs/>
                <w:color w:val="auto"/>
                <w:sz w:val="24"/>
                <w:szCs w:val="24"/>
                <w:highlight w:val="none"/>
                <w:lang w:val="zh-CN"/>
              </w:rPr>
              <w:fldChar w:fldCharType="end"/>
            </w:r>
            <w:r>
              <w:rPr>
                <w:rFonts w:hint="eastAsia" w:ascii="仿宋" w:hAnsi="仿宋" w:eastAsia="仿宋" w:cs="仿宋"/>
                <w:bCs/>
                <w:color w:val="auto"/>
                <w:sz w:val="24"/>
                <w:szCs w:val="24"/>
                <w:highlight w:val="none"/>
                <w:lang w:val="zh-CN"/>
              </w:rPr>
              <w:t>纸质版投标文件：按询比采购</w:t>
            </w:r>
            <w:r>
              <w:rPr>
                <w:rFonts w:hint="eastAsia" w:ascii="仿宋" w:hAnsi="仿宋" w:eastAsia="仿宋" w:cs="仿宋"/>
                <w:bCs/>
                <w:color w:val="auto"/>
                <w:sz w:val="24"/>
                <w:szCs w:val="24"/>
                <w:highlight w:val="none"/>
                <w:lang w:val="en-US" w:eastAsia="zh-CN"/>
              </w:rPr>
              <w:t>文件</w:t>
            </w:r>
            <w:r>
              <w:rPr>
                <w:rFonts w:hint="eastAsia" w:ascii="仿宋" w:hAnsi="仿宋" w:eastAsia="仿宋" w:cs="仿宋"/>
                <w:bCs/>
                <w:color w:val="auto"/>
                <w:sz w:val="24"/>
                <w:szCs w:val="24"/>
                <w:highlight w:val="none"/>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highlight w:val="none"/>
                <w:shd w:val="clear" w:color="040000" w:fill="auto"/>
                <w:lang w:val="en-US" w:eastAsia="zh-CN" w:bidi="ar-SA"/>
              </w:rPr>
            </w:pPr>
            <w:r>
              <w:rPr>
                <w:rFonts w:hint="eastAsia" w:ascii="仿宋" w:hAnsi="仿宋" w:eastAsia="仿宋" w:cs="仿宋"/>
                <w:color w:val="auto"/>
                <w:kern w:val="2"/>
                <w:sz w:val="24"/>
                <w:szCs w:val="24"/>
                <w:highlight w:val="none"/>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sz w:val="24"/>
                <w:szCs w:val="24"/>
                <w:highlight w:val="none"/>
                <w:shd w:val="clear" w:color="050000" w:fill="auto"/>
                <w:lang w:val="en-US" w:eastAsia="zh-CN"/>
              </w:rPr>
            </w:pPr>
            <w:r>
              <w:rPr>
                <w:rFonts w:hint="eastAsia" w:ascii="仿宋" w:hAnsi="仿宋" w:eastAsia="仿宋" w:cs="仿宋"/>
                <w:sz w:val="24"/>
                <w:szCs w:val="24"/>
                <w:highlight w:val="none"/>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sz w:val="24"/>
                <w:szCs w:val="24"/>
                <w:highlight w:val="none"/>
                <w:shd w:val="clear" w:color="050000" w:fill="auto"/>
              </w:rPr>
            </w:pPr>
            <w:r>
              <w:rPr>
                <w:rFonts w:hint="eastAsia" w:ascii="仿宋" w:hAnsi="仿宋" w:eastAsia="仿宋" w:cs="仿宋"/>
                <w:sz w:val="24"/>
                <w:szCs w:val="24"/>
                <w:highlight w:val="none"/>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sz w:val="24"/>
                <w:szCs w:val="24"/>
                <w:highlight w:val="none"/>
                <w:lang w:val="zh-CN"/>
              </w:rPr>
            </w:pPr>
            <w:r>
              <w:rPr>
                <w:rFonts w:hint="eastAsia" w:ascii="仿宋" w:hAnsi="仿宋" w:eastAsia="仿宋" w:cs="仿宋"/>
                <w:bCs/>
                <w:sz w:val="24"/>
                <w:szCs w:val="24"/>
                <w:highlight w:val="none"/>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highlight w:val="none"/>
                <w:shd w:val="clear" w:color="050000" w:fill="auto"/>
                <w:lang w:val="en-US" w:eastAsia="zh-CN"/>
              </w:rPr>
            </w:pPr>
            <w:r>
              <w:rPr>
                <w:rFonts w:hint="eastAsia" w:ascii="仿宋" w:hAnsi="仿宋" w:eastAsia="仿宋" w:cs="仿宋"/>
                <w:color w:val="auto"/>
                <w:sz w:val="24"/>
                <w:szCs w:val="24"/>
                <w:highlight w:val="none"/>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潜在投标人如对询比采购文件有异议，请向询比采购人以书面形式在询比采购活动结束后7天内提出，逾期将不予受理。</w:t>
            </w:r>
          </w:p>
        </w:tc>
      </w:tr>
    </w:tbl>
    <w:p>
      <w:pP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br w:type="page"/>
      </w: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有效投标人不足三家时，询比采购人将终止本次询比采购活动。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eastAsia="zh-CN"/>
        </w:rPr>
        <w:t>评审小组对投标人资格进行检查。</w:t>
      </w:r>
      <w:r>
        <w:rPr>
          <w:rFonts w:hint="eastAsia" w:ascii="仿宋_GB2312" w:hAnsi="仿宋_GB2312" w:eastAsia="仿宋_GB2312" w:cs="仿宋_GB2312"/>
          <w:sz w:val="32"/>
          <w:szCs w:val="32"/>
          <w:highlight w:val="none"/>
          <w:lang w:val="zh-CN" w:eastAsia="zh-CN"/>
        </w:rPr>
        <w:t>确定符合资格的投标人不少于3家后对投标文件进行符合性审查。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zh-CN" w:eastAsia="zh-CN"/>
        </w:rPr>
        <w:t>注：</w:t>
      </w:r>
      <w:r>
        <w:rPr>
          <w:rFonts w:hint="eastAsia" w:ascii="仿宋_GB2312" w:hAnsi="仿宋_GB2312" w:eastAsia="仿宋_GB2312" w:cs="仿宋_GB2312"/>
          <w:sz w:val="32"/>
          <w:szCs w:val="32"/>
          <w:highlight w:val="none"/>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（2）资格审查中所涉及到的证书及材料，</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lang w:eastAsia="zh-CN"/>
        </w:rPr>
        <w:t>在投标文件中提供原件扫描件（或图片）</w:t>
      </w:r>
      <w:r>
        <w:rPr>
          <w:rFonts w:hint="eastAsia" w:ascii="仿宋_GB2312" w:hAnsi="仿宋_GB2312" w:eastAsia="仿宋_GB2312" w:cs="仿宋_GB2312"/>
          <w:sz w:val="32"/>
          <w:szCs w:val="32"/>
          <w:highlight w:val="none"/>
          <w:lang w:val="en-US" w:eastAsia="zh-CN"/>
        </w:rPr>
        <w:t>或复印件为准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eastAsia="zh-CN"/>
        </w:rPr>
        <w:t>一</w:t>
      </w:r>
      <w:r>
        <w:rPr>
          <w:rFonts w:hint="eastAsia" w:ascii="仿宋_GB2312" w:hAnsi="仿宋_GB2312" w:eastAsia="仿宋_GB2312" w:cs="仿宋_GB2312"/>
          <w:b/>
          <w:bCs/>
          <w:sz w:val="32"/>
          <w:szCs w:val="32"/>
          <w:highlight w:val="none"/>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（二）评分办法</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967"/>
        <w:gridCol w:w="478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评分项目</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分值</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评分标准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询比采购</w:t>
            </w:r>
            <w:r>
              <w:rPr>
                <w:rFonts w:hint="eastAsia" w:ascii="仿宋_GB2312" w:hAnsi="仿宋_GB2312" w:eastAsia="仿宋_GB2312" w:cs="仿宋_GB2312"/>
                <w:b/>
                <w:sz w:val="28"/>
                <w:szCs w:val="28"/>
                <w:highlight w:val="none"/>
              </w:rPr>
              <w:t>报价</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1.收费超过10.50万元为无效报价；</w:t>
            </w:r>
          </w:p>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2.所有参与的投标人最低的有效报价为基准报价；</w:t>
            </w:r>
          </w:p>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val="en-US" w:eastAsia="zh-CN" w:bidi="ar"/>
              </w:rPr>
              <w:t>3.报价得分=（基准报价/报价）×30分。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000000"/>
                <w:kern w:val="0"/>
                <w:sz w:val="28"/>
                <w:szCs w:val="28"/>
                <w:highlight w:val="none"/>
                <w:lang w:val="en-US" w:eastAsia="zh-CN" w:bidi="ar"/>
              </w:rPr>
            </w:pPr>
            <w:r>
              <w:rPr>
                <w:rFonts w:hint="eastAsia" w:ascii="仿宋_GB2312" w:hAnsi="仿宋_GB2312" w:eastAsia="仿宋_GB2312" w:cs="仿宋_GB2312"/>
                <w:b/>
                <w:sz w:val="28"/>
                <w:szCs w:val="28"/>
                <w:highlight w:val="none"/>
                <w:lang w:val="en-US" w:eastAsia="zh-CN"/>
              </w:rPr>
              <w:t>律师服务团队人员</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律师服务团队成员每有1人得5分，最高10分。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en-US" w:eastAsia="zh-CN"/>
              </w:rPr>
              <w:t>法律服务质量承诺</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color w:val="000000"/>
                <w:kern w:val="0"/>
                <w:sz w:val="28"/>
                <w:szCs w:val="28"/>
                <w:highlight w:val="none"/>
                <w:lang w:val="en-US" w:eastAsia="zh-CN" w:bidi="ar"/>
              </w:rPr>
              <w:t>在债券成功发行前，承诺律师服务团队中有副主任及以上职务每周到现场提供服务；同时承诺现场尽调时律师服务团队中有副主任及以上职务每天到现场提供服务，并提供承诺书的得10分，没有的不得分。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kern w:val="2"/>
                <w:sz w:val="28"/>
                <w:szCs w:val="28"/>
                <w:highlight w:val="none"/>
                <w:lang w:val="en-US" w:eastAsia="zh-CN" w:bidi="ar-SA"/>
              </w:rPr>
            </w:pPr>
            <w:r>
              <w:rPr>
                <w:rFonts w:hint="eastAsia" w:ascii="仿宋_GB2312" w:hAnsi="仿宋_GB2312" w:eastAsia="仿宋_GB2312" w:cs="仿宋_GB2312"/>
                <w:b/>
                <w:color w:val="000000"/>
                <w:kern w:val="0"/>
                <w:sz w:val="28"/>
                <w:szCs w:val="28"/>
                <w:highlight w:val="none"/>
                <w:lang w:bidi="ar"/>
              </w:rPr>
              <w:t>服务方案</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提供的本次债券法律服务方案符合本次债券申报和发行要求并且方案优秀的得</w:t>
            </w:r>
            <w:r>
              <w:rPr>
                <w:rFonts w:hint="eastAsia" w:ascii="仿宋_GB2312" w:hAnsi="仿宋_GB2312" w:eastAsia="仿宋_GB2312" w:cs="仿宋_GB2312"/>
                <w:sz w:val="28"/>
                <w:szCs w:val="28"/>
                <w:highlight w:val="none"/>
                <w:lang w:val="en-US" w:eastAsia="zh-CN"/>
              </w:rPr>
              <w:t>30分，方案良好的得15分，没有不得分。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color w:val="000000"/>
                <w:kern w:val="0"/>
                <w:sz w:val="28"/>
                <w:szCs w:val="28"/>
                <w:highlight w:val="none"/>
                <w:lang w:val="en-US" w:eastAsia="zh-CN" w:bidi="ar"/>
              </w:rPr>
            </w:pPr>
            <w:r>
              <w:rPr>
                <w:rFonts w:hint="eastAsia" w:ascii="仿宋_GB2312" w:hAnsi="仿宋_GB2312" w:eastAsia="仿宋_GB2312" w:cs="仿宋_GB2312"/>
                <w:b/>
                <w:color w:val="000000"/>
                <w:kern w:val="0"/>
                <w:sz w:val="28"/>
                <w:szCs w:val="28"/>
                <w:highlight w:val="none"/>
                <w:lang w:eastAsia="zh-CN" w:bidi="ar"/>
              </w:rPr>
              <w:t>债券法律服务业绩</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val="en-US" w:eastAsia="zh-CN"/>
              </w:rPr>
              <w:t>20分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每提供一项债券法律服务合同得</w:t>
            </w:r>
            <w:r>
              <w:rPr>
                <w:rFonts w:hint="eastAsia" w:ascii="仿宋_GB2312" w:hAnsi="仿宋_GB2312" w:eastAsia="仿宋_GB2312" w:cs="仿宋_GB2312"/>
                <w:sz w:val="28"/>
                <w:szCs w:val="28"/>
                <w:highlight w:val="none"/>
                <w:lang w:val="en-US" w:eastAsia="zh-CN"/>
              </w:rPr>
              <w:t>5分，最高20分。</w:t>
            </w: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1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合计</w:t>
            </w:r>
          </w:p>
        </w:tc>
        <w:tc>
          <w:tcPr>
            <w:tcW w:w="567"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100分</w:t>
            </w:r>
          </w:p>
        </w:tc>
        <w:tc>
          <w:tcPr>
            <w:tcW w:w="2809"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c>
          <w:tcPr>
            <w:tcW w:w="806" w:type="pct"/>
            <w:noWrap w:val="0"/>
            <w:vAlign w:val="center"/>
          </w:tcPr>
          <w:p>
            <w:pPr>
              <w:keepNext w:val="0"/>
              <w:keepLines w:val="0"/>
              <w:pageBreakBefore w:val="0"/>
              <w:widowControl/>
              <w:tabs>
                <w:tab w:val="left" w:pos="622"/>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（四）推荐</w:t>
      </w:r>
      <w:r>
        <w:rPr>
          <w:rFonts w:hint="eastAsia" w:ascii="仿宋_GB2312" w:hAnsi="仿宋_GB2312" w:eastAsia="仿宋_GB2312" w:cs="仿宋_GB2312"/>
          <w:b/>
          <w:bCs/>
          <w:sz w:val="32"/>
          <w:szCs w:val="32"/>
          <w:highlight w:val="none"/>
          <w:lang w:val="en-US" w:eastAsia="zh-CN"/>
        </w:rPr>
        <w:t>中标</w:t>
      </w:r>
      <w:r>
        <w:rPr>
          <w:rFonts w:hint="eastAsia" w:ascii="仿宋_GB2312" w:hAnsi="仿宋_GB2312" w:eastAsia="仿宋_GB2312" w:cs="仿宋_GB2312"/>
          <w:b/>
          <w:bCs/>
          <w:sz w:val="32"/>
          <w:szCs w:val="32"/>
          <w:highlight w:val="none"/>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评审小组应当根据综合评分情况，按照评审得分由高到低顺序推荐</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highlight w:val="none"/>
          <w:lang w:val="zh-CN" w:eastAsia="zh-CN"/>
        </w:rPr>
      </w:pPr>
      <w:r>
        <w:rPr>
          <w:rFonts w:hint="eastAsia" w:ascii="仿宋_GB2312" w:hAnsi="仿宋_GB2312" w:eastAsia="仿宋_GB2312" w:cs="仿宋_GB2312"/>
          <w:b/>
          <w:bCs/>
          <w:sz w:val="32"/>
          <w:szCs w:val="32"/>
          <w:highlight w:val="none"/>
          <w:lang w:val="zh-CN" w:eastAsia="zh-CN"/>
        </w:rPr>
        <w:t>（</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sz w:val="32"/>
          <w:szCs w:val="32"/>
          <w:highlight w:val="none"/>
          <w:lang w:val="en-US" w:eastAsia="zh-CN"/>
        </w:rPr>
        <w:t>询比采购</w:t>
      </w:r>
      <w:r>
        <w:rPr>
          <w:rFonts w:hint="eastAsia" w:ascii="仿宋_GB2312" w:hAnsi="仿宋_GB2312" w:eastAsia="仿宋_GB2312" w:cs="仿宋_GB2312"/>
          <w:sz w:val="32"/>
          <w:szCs w:val="32"/>
          <w:highlight w:val="none"/>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highlight w:val="none"/>
          <w:shd w:val="clear" w:color="050000" w:fill="auto"/>
        </w:rPr>
      </w:pPr>
      <w:r>
        <w:rPr>
          <w:rFonts w:hint="eastAsia" w:ascii="仿宋" w:hAnsi="仿宋" w:eastAsia="仿宋" w:cs="仿宋"/>
          <w:b/>
          <w:bCs/>
          <w:color w:val="auto"/>
          <w:sz w:val="40"/>
          <w:szCs w:val="40"/>
          <w:highlight w:val="none"/>
          <w:shd w:val="clear" w:color="050000" w:fill="auto"/>
        </w:rPr>
        <w:br w:type="page"/>
      </w:r>
    </w:p>
    <w:p>
      <w:pPr>
        <w:pStyle w:val="19"/>
        <w:rPr>
          <w:rFonts w:hint="eastAsia" w:ascii="仿宋" w:hAnsi="仿宋" w:eastAsia="仿宋" w:cs="仿宋"/>
          <w:b/>
          <w:bCs/>
          <w:color w:val="auto"/>
          <w:sz w:val="40"/>
          <w:szCs w:val="40"/>
          <w:highlight w:val="none"/>
          <w:shd w:val="clear" w:color="050000" w:fill="auto"/>
        </w:rPr>
      </w:pPr>
    </w:p>
    <w:p>
      <w:pPr>
        <w:spacing w:line="360" w:lineRule="auto"/>
        <w:jc w:val="center"/>
        <w:rPr>
          <w:rFonts w:hint="eastAsia" w:ascii="仿宋" w:hAnsi="仿宋" w:eastAsia="仿宋" w:cs="仿宋"/>
          <w:b/>
          <w:color w:val="auto"/>
          <w:sz w:val="40"/>
          <w:szCs w:val="40"/>
          <w:highlight w:val="none"/>
          <w:shd w:val="clear" w:color="060000" w:fill="auto"/>
        </w:rPr>
      </w:pPr>
    </w:p>
    <w:p>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highlight w:val="none"/>
          <w:lang w:val="en-US" w:eastAsia="zh-CN"/>
        </w:rPr>
      </w:pPr>
      <w:r>
        <w:rPr>
          <w:rFonts w:hint="eastAsia" w:ascii="仿宋" w:hAnsi="仿宋" w:eastAsia="仿宋" w:cs="仿宋"/>
          <w:b/>
          <w:bCs/>
          <w:caps/>
          <w:color w:val="auto"/>
          <w:kern w:val="0"/>
          <w:sz w:val="40"/>
          <w:szCs w:val="40"/>
          <w:highlight w:val="none"/>
          <w:lang w:val="en-US" w:eastAsia="zh-CN"/>
        </w:rPr>
        <w:t>第五章 投标文件有关格式</w:t>
      </w:r>
    </w:p>
    <w:p>
      <w:pPr>
        <w:spacing w:line="700" w:lineRule="auto"/>
        <w:ind w:firstLine="551"/>
        <w:jc w:val="center"/>
        <w:rPr>
          <w:rFonts w:hint="eastAsia" w:ascii="仿宋" w:hAnsi="仿宋" w:eastAsia="仿宋" w:cs="仿宋"/>
          <w:b/>
          <w:color w:val="auto"/>
          <w:sz w:val="24"/>
          <w:szCs w:val="24"/>
          <w:highlight w:val="none"/>
          <w:shd w:val="clear" w:color="060000" w:fill="auto"/>
        </w:rPr>
      </w:pPr>
      <w:r>
        <w:rPr>
          <w:rFonts w:hint="eastAsia" w:ascii="仿宋" w:hAnsi="仿宋" w:eastAsia="仿宋" w:cs="仿宋"/>
          <w:b/>
          <w:color w:val="auto"/>
          <w:sz w:val="24"/>
          <w:szCs w:val="24"/>
          <w:highlight w:val="none"/>
          <w:shd w:val="clear" w:color="060000" w:fill="auto"/>
        </w:rPr>
        <w:t>（如涉及本项目的提供）</w:t>
      </w:r>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bookmarkStart w:id="6" w:name="_Toc184023138"/>
      <w:bookmarkStart w:id="7" w:name="_Toc186274126"/>
      <w:bookmarkStart w:id="8" w:name="_Toc174185203"/>
    </w:p>
    <w:p>
      <w:pPr>
        <w:pStyle w:val="52"/>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许昌市城投发展集团有限公司</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val="en-US" w:eastAsia="zh-CN"/>
        </w:rPr>
        <w:t>2023年</w:t>
      </w:r>
      <w:r>
        <w:rPr>
          <w:rFonts w:hint="eastAsia" w:ascii="方正小标宋简体" w:hAnsi="方正小标宋简体" w:eastAsia="方正小标宋简体" w:cs="方正小标宋简体"/>
          <w:b w:val="0"/>
          <w:bCs w:val="0"/>
          <w:sz w:val="44"/>
          <w:szCs w:val="44"/>
          <w:highlight w:val="none"/>
          <w:lang w:eastAsia="zh-CN"/>
        </w:rPr>
        <w:t>非公开发行公司债券专项法律服务</w:t>
      </w: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lang w:eastAsia="zh-CN"/>
        </w:rPr>
        <w:t>询比采购项目</w:t>
      </w:r>
    </w:p>
    <w:p>
      <w:pPr>
        <w:jc w:val="center"/>
        <w:rPr>
          <w:rFonts w:hint="eastAsia" w:ascii="仿宋" w:hAnsi="仿宋" w:eastAsia="仿宋" w:cs="仿宋"/>
          <w:b/>
          <w:color w:val="auto"/>
          <w:spacing w:val="60"/>
          <w:sz w:val="28"/>
          <w:szCs w:val="28"/>
          <w:highlight w:val="none"/>
          <w:shd w:val="clear" w:color="060000" w:fill="auto"/>
          <w:lang w:eastAsia="zh-CN"/>
        </w:rPr>
      </w:pPr>
      <w:r>
        <w:rPr>
          <w:rFonts w:hint="eastAsia" w:ascii="仿宋" w:hAnsi="仿宋" w:eastAsia="仿宋" w:cs="仿宋"/>
          <w:b/>
          <w:color w:val="auto"/>
          <w:spacing w:val="60"/>
          <w:sz w:val="28"/>
          <w:szCs w:val="28"/>
          <w:highlight w:val="none"/>
          <w:shd w:val="clear" w:color="060000" w:fill="auto"/>
          <w:lang w:eastAsia="zh-CN"/>
        </w:rPr>
        <w:t>（</w:t>
      </w:r>
      <w:r>
        <w:rPr>
          <w:rFonts w:hint="eastAsia" w:ascii="仿宋" w:hAnsi="仿宋" w:eastAsia="仿宋" w:cs="仿宋"/>
          <w:b/>
          <w:color w:val="auto"/>
          <w:spacing w:val="60"/>
          <w:sz w:val="28"/>
          <w:szCs w:val="28"/>
          <w:highlight w:val="none"/>
          <w:shd w:val="clear" w:color="060000" w:fill="auto"/>
          <w:lang w:val="en-US" w:eastAsia="zh-CN"/>
        </w:rPr>
        <w:t>项目编号：RZB-2023005-1号</w:t>
      </w:r>
      <w:r>
        <w:rPr>
          <w:rFonts w:hint="eastAsia" w:ascii="仿宋" w:hAnsi="仿宋" w:eastAsia="仿宋" w:cs="仿宋"/>
          <w:b/>
          <w:color w:val="auto"/>
          <w:spacing w:val="60"/>
          <w:sz w:val="28"/>
          <w:szCs w:val="28"/>
          <w:highlight w:val="none"/>
          <w:shd w:val="clear" w:color="060000" w:fill="auto"/>
          <w:lang w:eastAsia="zh-CN"/>
        </w:rPr>
        <w:t>）</w:t>
      </w:r>
    </w:p>
    <w:p>
      <w:pPr>
        <w:jc w:val="cente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color w:val="auto"/>
          <w:sz w:val="28"/>
          <w:szCs w:val="28"/>
          <w:highlight w:val="none"/>
          <w:shd w:val="clear" w:color="050000" w:fill="auto"/>
        </w:rPr>
      </w:pPr>
    </w:p>
    <w:p>
      <w:pPr>
        <w:rPr>
          <w:rFonts w:hint="eastAsia" w:ascii="仿宋" w:hAnsi="仿宋" w:eastAsia="仿宋" w:cs="仿宋"/>
          <w:color w:val="auto"/>
          <w:sz w:val="28"/>
          <w:szCs w:val="28"/>
          <w:highlight w:val="none"/>
          <w:shd w:val="clear" w:color="050000" w:fill="auto"/>
        </w:rPr>
      </w:pPr>
    </w:p>
    <w:p>
      <w:pPr>
        <w:jc w:val="center"/>
        <w:rPr>
          <w:rFonts w:hint="eastAsia" w:ascii="仿宋" w:hAnsi="仿宋" w:eastAsia="仿宋" w:cs="仿宋"/>
          <w:b/>
          <w:color w:val="auto"/>
          <w:sz w:val="72"/>
          <w:szCs w:val="72"/>
          <w:highlight w:val="none"/>
          <w:shd w:val="clear" w:color="060000" w:fill="auto"/>
        </w:rPr>
      </w:pPr>
      <w:r>
        <w:rPr>
          <w:rFonts w:hint="eastAsia" w:ascii="仿宋" w:hAnsi="仿宋" w:eastAsia="仿宋" w:cs="仿宋"/>
          <w:b/>
          <w:color w:val="auto"/>
          <w:sz w:val="72"/>
          <w:szCs w:val="72"/>
          <w:highlight w:val="none"/>
          <w:shd w:val="clear" w:color="060000" w:fill="auto"/>
          <w:lang w:val="en-US" w:eastAsia="zh-CN"/>
        </w:rPr>
        <w:t xml:space="preserve">投 标 </w:t>
      </w:r>
      <w:r>
        <w:rPr>
          <w:rFonts w:hint="eastAsia" w:ascii="仿宋" w:hAnsi="仿宋" w:eastAsia="仿宋" w:cs="仿宋"/>
          <w:b/>
          <w:color w:val="auto"/>
          <w:sz w:val="72"/>
          <w:szCs w:val="72"/>
          <w:highlight w:val="none"/>
          <w:shd w:val="clear" w:color="060000" w:fill="auto"/>
        </w:rPr>
        <w:t>文</w:t>
      </w:r>
      <w:r>
        <w:rPr>
          <w:rFonts w:hint="eastAsia" w:ascii="仿宋" w:hAnsi="仿宋" w:eastAsia="仿宋" w:cs="仿宋"/>
          <w:b/>
          <w:color w:val="auto"/>
          <w:sz w:val="72"/>
          <w:szCs w:val="72"/>
          <w:highlight w:val="none"/>
          <w:shd w:val="clear" w:color="060000" w:fill="auto"/>
          <w:lang w:val="en-US" w:eastAsia="zh-CN"/>
        </w:rPr>
        <w:t xml:space="preserve"> </w:t>
      </w:r>
      <w:r>
        <w:rPr>
          <w:rFonts w:hint="eastAsia" w:ascii="仿宋" w:hAnsi="仿宋" w:eastAsia="仿宋" w:cs="仿宋"/>
          <w:b/>
          <w:color w:val="auto"/>
          <w:sz w:val="72"/>
          <w:szCs w:val="72"/>
          <w:highlight w:val="none"/>
          <w:shd w:val="clear" w:color="060000" w:fill="auto"/>
        </w:rPr>
        <w:t>件</w:t>
      </w:r>
    </w:p>
    <w:p>
      <w:pPr>
        <w:pStyle w:val="3"/>
        <w:numPr>
          <w:ilvl w:val="1"/>
          <w:numId w:val="0"/>
        </w:numPr>
        <w:rPr>
          <w:rFonts w:hint="eastAsia" w:ascii="仿宋" w:hAnsi="仿宋" w:eastAsia="仿宋" w:cs="仿宋"/>
          <w:sz w:val="32"/>
          <w:szCs w:val="32"/>
          <w:highlight w:val="none"/>
        </w:rPr>
      </w:pPr>
    </w:p>
    <w:p>
      <w:pPr>
        <w:spacing w:line="360" w:lineRule="auto"/>
        <w:jc w:val="both"/>
        <w:rPr>
          <w:rFonts w:hint="eastAsia" w:ascii="仿宋" w:hAnsi="仿宋" w:eastAsia="仿宋" w:cs="仿宋"/>
          <w:b/>
          <w:bCs/>
          <w:caps/>
          <w:color w:val="auto"/>
          <w:sz w:val="36"/>
          <w:szCs w:val="36"/>
          <w:highlight w:val="none"/>
          <w:u w:val="none"/>
          <w:lang w:val="en-US" w:eastAsia="zh-CN"/>
        </w:rPr>
      </w:pPr>
      <w:r>
        <w:rPr>
          <w:rFonts w:hint="eastAsia" w:ascii="仿宋" w:hAnsi="仿宋" w:eastAsia="仿宋" w:cs="仿宋"/>
          <w:b/>
          <w:bCs/>
          <w:caps/>
          <w:color w:val="auto"/>
          <w:sz w:val="36"/>
          <w:szCs w:val="36"/>
          <w:highlight w:val="none"/>
          <w:lang w:val="en-US" w:eastAsia="zh-CN"/>
        </w:rPr>
        <w:t>投标人名称</w:t>
      </w:r>
      <w:r>
        <w:rPr>
          <w:rFonts w:hint="eastAsia" w:ascii="仿宋" w:hAnsi="仿宋" w:eastAsia="仿宋" w:cs="仿宋"/>
          <w:b/>
          <w:bCs/>
          <w:caps/>
          <w:color w:val="auto"/>
          <w:sz w:val="36"/>
          <w:szCs w:val="36"/>
          <w:highlight w:val="none"/>
        </w:rPr>
        <w:t>：</w:t>
      </w:r>
      <w:r>
        <w:rPr>
          <w:rFonts w:hint="eastAsia" w:ascii="仿宋" w:hAnsi="仿宋" w:eastAsia="仿宋" w:cs="仿宋"/>
          <w:b/>
          <w:bCs/>
          <w:caps/>
          <w:color w:val="auto"/>
          <w:sz w:val="36"/>
          <w:szCs w:val="36"/>
          <w:highlight w:val="none"/>
          <w:u w:val="single"/>
          <w:lang w:val="en-US" w:eastAsia="zh-CN"/>
        </w:rPr>
        <w:t xml:space="preserve">                     </w:t>
      </w:r>
      <w:r>
        <w:rPr>
          <w:rFonts w:hint="eastAsia" w:ascii="仿宋" w:hAnsi="仿宋" w:eastAsia="仿宋" w:cs="仿宋"/>
          <w:b/>
          <w:bCs/>
          <w:caps/>
          <w:color w:val="auto"/>
          <w:sz w:val="36"/>
          <w:szCs w:val="36"/>
          <w:highlight w:val="none"/>
          <w:u w:val="none"/>
          <w:lang w:val="en-US" w:eastAsia="zh-CN"/>
        </w:rPr>
        <w:t>（盖单位章）</w:t>
      </w:r>
    </w:p>
    <w:p>
      <w:pPr>
        <w:spacing w:line="360" w:lineRule="auto"/>
        <w:jc w:val="center"/>
        <w:rPr>
          <w:rFonts w:hint="eastAsia" w:ascii="仿宋" w:hAnsi="仿宋" w:eastAsia="仿宋" w:cs="仿宋"/>
          <w:color w:val="auto"/>
          <w:sz w:val="36"/>
          <w:szCs w:val="36"/>
          <w:highlight w:val="none"/>
          <w:u w:val="none"/>
          <w:shd w:val="clear" w:color="050000" w:fill="auto"/>
          <w:lang w:val="en-US" w:eastAsia="zh-CN"/>
        </w:rPr>
      </w:pPr>
      <w:r>
        <w:rPr>
          <w:rFonts w:hint="eastAsia" w:ascii="仿宋" w:hAnsi="仿宋" w:eastAsia="仿宋" w:cs="仿宋"/>
          <w:b/>
          <w:color w:val="auto"/>
          <w:sz w:val="36"/>
          <w:szCs w:val="36"/>
          <w:highlight w:val="none"/>
          <w:shd w:val="clear" w:color="060000" w:fill="auto"/>
          <w:lang w:val="en-US" w:eastAsia="zh-CN"/>
        </w:rPr>
        <w:t>投标日期：</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年</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月</w:t>
      </w:r>
      <w:r>
        <w:rPr>
          <w:rFonts w:hint="eastAsia" w:ascii="仿宋" w:hAnsi="仿宋" w:eastAsia="仿宋" w:cs="仿宋"/>
          <w:b/>
          <w:color w:val="auto"/>
          <w:sz w:val="36"/>
          <w:szCs w:val="36"/>
          <w:highlight w:val="none"/>
          <w:u w:val="single"/>
          <w:shd w:val="clear" w:color="060000" w:fill="auto"/>
          <w:lang w:val="en-US" w:eastAsia="zh-CN"/>
        </w:rPr>
        <w:t xml:space="preserve">   </w:t>
      </w:r>
      <w:r>
        <w:rPr>
          <w:rFonts w:hint="eastAsia" w:ascii="仿宋" w:hAnsi="仿宋" w:eastAsia="仿宋" w:cs="仿宋"/>
          <w:b/>
          <w:color w:val="auto"/>
          <w:sz w:val="36"/>
          <w:szCs w:val="36"/>
          <w:highlight w:val="none"/>
          <w:u w:val="none"/>
          <w:shd w:val="clear" w:color="060000" w:fill="auto"/>
          <w:lang w:val="en-US" w:eastAsia="zh-CN"/>
        </w:rPr>
        <w:t>日</w:t>
      </w: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一、投标人应答索引表</w:t>
      </w:r>
      <w:bookmarkEnd w:id="6"/>
      <w:bookmarkEnd w:id="7"/>
      <w:bookmarkEnd w:id="8"/>
    </w:p>
    <w:tbl>
      <w:tblPr>
        <w:tblStyle w:val="28"/>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0"/>
        <w:gridCol w:w="3860"/>
        <w:gridCol w:w="1399"/>
        <w:gridCol w:w="1331"/>
        <w:gridCol w:w="12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87"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2265"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821"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781"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744" w:type="pct"/>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2265" w:type="pct"/>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2265"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2265"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2265" w:type="pct"/>
            <w:vAlign w:val="center"/>
          </w:tcPr>
          <w:p>
            <w:pPr>
              <w:pStyle w:val="14"/>
              <w:kinsoku w:val="0"/>
              <w:overflowPunct w:val="0"/>
              <w:autoSpaceDE w:val="0"/>
              <w:autoSpaceDN w:val="0"/>
              <w:spacing w:line="540" w:lineRule="exact"/>
              <w:rPr>
                <w:rFonts w:hint="eastAsia" w:ascii="仿宋" w:hAnsi="仿宋" w:eastAsia="仿宋" w:cs="仿宋"/>
                <w:bCs/>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营业执照等（律师事务所执业许可证）</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2265"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2265"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2265" w:type="pct"/>
            <w:vAlign w:val="center"/>
          </w:tcPr>
          <w:p>
            <w:pPr>
              <w:pStyle w:val="14"/>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公司债券法律服务方案</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2265" w:type="pct"/>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kern w:val="0"/>
                <w:sz w:val="22"/>
                <w:szCs w:val="22"/>
                <w:highlight w:val="none"/>
                <w:lang w:eastAsia="zh-CN"/>
              </w:rPr>
              <w:t>法律服务质量承诺</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87" w:type="pct"/>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2265" w:type="pct"/>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债券法律服务合同</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387" w:type="pct"/>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2265" w:type="pct"/>
            <w:vAlign w:val="center"/>
          </w:tcPr>
          <w:p>
            <w:pPr>
              <w:pStyle w:val="14"/>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821" w:type="pct"/>
            <w:vAlign w:val="center"/>
          </w:tcPr>
          <w:p>
            <w:pPr>
              <w:snapToGrid w:val="0"/>
              <w:spacing w:line="540" w:lineRule="exact"/>
              <w:jc w:val="center"/>
              <w:rPr>
                <w:rFonts w:hint="eastAsia" w:ascii="仿宋" w:hAnsi="仿宋" w:eastAsia="仿宋" w:cs="仿宋"/>
                <w:color w:val="auto"/>
                <w:sz w:val="22"/>
                <w:szCs w:val="22"/>
                <w:highlight w:val="none"/>
              </w:rPr>
            </w:pPr>
          </w:p>
        </w:tc>
        <w:tc>
          <w:tcPr>
            <w:tcW w:w="781" w:type="pct"/>
            <w:vAlign w:val="center"/>
          </w:tcPr>
          <w:p>
            <w:pPr>
              <w:snapToGrid w:val="0"/>
              <w:spacing w:line="540" w:lineRule="exact"/>
              <w:rPr>
                <w:rFonts w:hint="eastAsia" w:ascii="仿宋" w:hAnsi="仿宋" w:eastAsia="仿宋" w:cs="仿宋"/>
                <w:color w:val="auto"/>
                <w:sz w:val="22"/>
                <w:szCs w:val="22"/>
                <w:highlight w:val="none"/>
              </w:rPr>
            </w:pPr>
          </w:p>
        </w:tc>
        <w:tc>
          <w:tcPr>
            <w:tcW w:w="744" w:type="pct"/>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26"/>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0"/>
        <w:rPr>
          <w:rFonts w:hint="eastAsia" w:ascii="仿宋" w:hAnsi="仿宋" w:eastAsia="仿宋" w:cs="仿宋"/>
          <w:color w:val="auto"/>
          <w:sz w:val="24"/>
          <w:szCs w:val="24"/>
          <w:highlight w:val="none"/>
        </w:rPr>
      </w:pPr>
    </w:p>
    <w:p>
      <w:pPr>
        <w:pStyle w:val="27"/>
        <w:rPr>
          <w:rFonts w:hint="eastAsia" w:ascii="仿宋" w:hAnsi="仿宋" w:eastAsia="仿宋" w:cs="仿宋"/>
          <w:color w:val="auto"/>
          <w:sz w:val="24"/>
          <w:szCs w:val="24"/>
          <w:highlight w:val="none"/>
        </w:rPr>
      </w:pPr>
    </w:p>
    <w:p>
      <w:pPr>
        <w:pStyle w:val="20"/>
        <w:rPr>
          <w:rFonts w:hint="eastAsia"/>
          <w:highlight w:val="none"/>
        </w:rPr>
      </w:pPr>
    </w:p>
    <w:p>
      <w:pPr>
        <w:rPr>
          <w:rFonts w:hint="eastAsia"/>
          <w:highlight w:val="none"/>
        </w:rPr>
      </w:pPr>
      <w:r>
        <w:rPr>
          <w:rFonts w:hint="eastAsia" w:ascii="仿宋" w:hAnsi="仿宋" w:eastAsia="仿宋" w:cs="仿宋"/>
          <w:color w:val="auto"/>
          <w:sz w:val="24"/>
          <w:szCs w:val="24"/>
          <w:highlight w:val="none"/>
        </w:rPr>
        <w:br w:type="page"/>
      </w:r>
    </w:p>
    <w:p>
      <w:pPr>
        <w:pStyle w:val="14"/>
        <w:spacing w:line="360" w:lineRule="auto"/>
        <w:jc w:val="center"/>
        <w:rPr>
          <w:rFonts w:hint="eastAsia" w:ascii="仿宋" w:hAnsi="仿宋" w:eastAsia="仿宋" w:cs="仿宋"/>
          <w:b/>
          <w:snapToGrid w:val="0"/>
          <w:color w:val="auto"/>
          <w:kern w:val="0"/>
          <w:sz w:val="36"/>
          <w:szCs w:val="36"/>
          <w:highlight w:val="none"/>
        </w:rPr>
      </w:pPr>
      <w:r>
        <w:rPr>
          <w:rFonts w:hint="eastAsia" w:ascii="仿宋" w:hAnsi="仿宋" w:eastAsia="仿宋" w:cs="仿宋"/>
          <w:b/>
          <w:snapToGrid w:val="0"/>
          <w:color w:val="auto"/>
          <w:kern w:val="0"/>
          <w:sz w:val="36"/>
          <w:szCs w:val="36"/>
          <w:highlight w:val="none"/>
        </w:rPr>
        <w:t>二、</w:t>
      </w:r>
      <w:r>
        <w:rPr>
          <w:rFonts w:hint="eastAsia" w:ascii="仿宋" w:hAnsi="仿宋" w:eastAsia="仿宋" w:cs="仿宋"/>
          <w:b/>
          <w:snapToGrid w:val="0"/>
          <w:color w:val="auto"/>
          <w:kern w:val="0"/>
          <w:sz w:val="36"/>
          <w:szCs w:val="36"/>
          <w:highlight w:val="none"/>
          <w:lang w:val="en-US" w:eastAsia="zh-CN"/>
        </w:rPr>
        <w:t>报价单</w:t>
      </w:r>
    </w:p>
    <w:p>
      <w:pPr>
        <w:pStyle w:val="14"/>
        <w:spacing w:line="360" w:lineRule="auto"/>
        <w:jc w:val="center"/>
        <w:rPr>
          <w:rFonts w:hint="eastAsia" w:ascii="仿宋" w:hAnsi="仿宋" w:eastAsia="仿宋" w:cs="仿宋"/>
          <w:b/>
          <w:snapToGrid w:val="0"/>
          <w:color w:val="auto"/>
          <w:kern w:val="0"/>
          <w:sz w:val="24"/>
          <w:szCs w:val="24"/>
          <w:highlight w:val="none"/>
        </w:rPr>
      </w:pPr>
    </w:p>
    <w:p>
      <w:pPr>
        <w:spacing w:before="50" w:afterLines="50" w:line="360" w:lineRule="auto"/>
        <w:contextualSpacing/>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RZB-2023005-1号</w:t>
      </w:r>
    </w:p>
    <w:p>
      <w:pPr>
        <w:bidi w:val="0"/>
        <w:rPr>
          <w:rFonts w:hint="eastAsia" w:ascii="仿宋_GB2312" w:hAnsi="仿宋_GB2312" w:eastAsia="仿宋_GB2312" w:cs="仿宋_GB2312"/>
          <w:sz w:val="24"/>
          <w:szCs w:val="22"/>
          <w:highlight w:val="none"/>
          <w:lang w:val="en-US" w:eastAsia="zh-CN"/>
        </w:rPr>
      </w:pPr>
      <w:r>
        <w:rPr>
          <w:rFonts w:hint="eastAsia" w:ascii="仿宋" w:hAnsi="仿宋" w:eastAsia="仿宋" w:cs="仿宋"/>
          <w:color w:val="auto"/>
          <w:sz w:val="24"/>
          <w:szCs w:val="32"/>
          <w:highlight w:val="none"/>
        </w:rPr>
        <w:t>项目名称：许昌市城投发展集团有限公司2023年非公开发行公司债券专项法律服务询比采购项目</w:t>
      </w:r>
    </w:p>
    <w:tbl>
      <w:tblPr>
        <w:tblStyle w:val="28"/>
        <w:tblW w:w="0" w:type="auto"/>
        <w:tblInd w:w="0" w:type="dxa"/>
        <w:tblLayout w:type="autofit"/>
        <w:tblCellMar>
          <w:top w:w="0" w:type="dxa"/>
          <w:left w:w="108" w:type="dxa"/>
          <w:bottom w:w="0" w:type="dxa"/>
          <w:right w:w="108" w:type="dxa"/>
        </w:tblCellMar>
      </w:tblPr>
      <w:tblGrid>
        <w:gridCol w:w="837"/>
        <w:gridCol w:w="3521"/>
        <w:gridCol w:w="2811"/>
        <w:gridCol w:w="1353"/>
      </w:tblGrid>
      <w:tr>
        <w:tblPrEx>
          <w:tblCellMar>
            <w:top w:w="0" w:type="dxa"/>
            <w:left w:w="108" w:type="dxa"/>
            <w:bottom w:w="0" w:type="dxa"/>
            <w:right w:w="108" w:type="dxa"/>
          </w:tblCellMar>
        </w:tblPrEx>
        <w:trPr>
          <w:trHeight w:val="851" w:hRule="atLeast"/>
        </w:trPr>
        <w:tc>
          <w:tcPr>
            <w:tcW w:w="837"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352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2811"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135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2961" w:hRule="atLeast"/>
        </w:trPr>
        <w:tc>
          <w:tcPr>
            <w:tcW w:w="8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w:t>
            </w:r>
          </w:p>
        </w:tc>
        <w:tc>
          <w:tcPr>
            <w:tcW w:w="352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spacing w:line="42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32"/>
                <w:highlight w:val="none"/>
                <w:lang w:val="en-US" w:eastAsia="zh-CN"/>
              </w:rPr>
              <w:t>许昌市城投发展集团有限公司2023年非公开发行公司债券专项法律服务询比采购项目</w:t>
            </w:r>
          </w:p>
        </w:tc>
        <w:tc>
          <w:tcPr>
            <w:tcW w:w="28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left"/>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13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投标人名称：</w:t>
      </w:r>
      <w:r>
        <w:rPr>
          <w:rFonts w:hint="eastAsia" w:ascii="仿宋" w:hAnsi="仿宋" w:eastAsia="仿宋" w:cs="仿宋"/>
          <w:color w:val="auto"/>
          <w:sz w:val="24"/>
          <w:szCs w:val="24"/>
          <w:highlight w:val="none"/>
          <w:u w:val="single"/>
          <w:lang w:val="zh-CN"/>
        </w:rPr>
        <w:t xml:space="preserve">     （全称）   </w:t>
      </w:r>
      <w:r>
        <w:rPr>
          <w:rFonts w:hint="eastAsia" w:ascii="仿宋" w:hAnsi="仿宋" w:eastAsia="仿宋" w:cs="仿宋"/>
          <w:color w:val="auto"/>
          <w:sz w:val="24"/>
          <w:szCs w:val="24"/>
          <w:highlight w:val="none"/>
          <w:lang w:val="zh-CN"/>
        </w:rPr>
        <w:t>（公章）</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报价单位元，</w:t>
      </w:r>
      <w:r>
        <w:rPr>
          <w:rFonts w:hint="eastAsia" w:ascii="仿宋" w:hAnsi="仿宋" w:eastAsia="仿宋" w:cs="仿宋"/>
          <w:color w:val="auto"/>
          <w:sz w:val="24"/>
          <w:szCs w:val="24"/>
          <w:highlight w:val="none"/>
        </w:rPr>
        <w:t>保留两位小数进行报价。</w:t>
      </w:r>
    </w:p>
    <w:p>
      <w:pPr>
        <w:rPr>
          <w:rFonts w:hint="eastAsia"/>
          <w:highlight w:val="none"/>
          <w:lang w:val="zh-CN"/>
        </w:rPr>
      </w:pPr>
      <w:r>
        <w:rPr>
          <w:rFonts w:hint="eastAsia" w:ascii="仿宋" w:hAnsi="仿宋" w:eastAsia="仿宋" w:cs="仿宋"/>
          <w:color w:val="auto"/>
          <w:sz w:val="24"/>
          <w:szCs w:val="24"/>
          <w:highlight w:val="none"/>
          <w:lang w:val="zh-CN"/>
        </w:rPr>
        <w:br w:type="page"/>
      </w: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pPr>
      <w:r>
        <w:rPr>
          <w:rFonts w:hint="eastAsia" w:ascii="仿宋" w:hAnsi="仿宋" w:eastAsia="仿宋" w:cs="仿宋"/>
          <w:b/>
          <w:snapToGrid w:val="0"/>
          <w:color w:val="auto"/>
          <w:kern w:val="0"/>
          <w:sz w:val="36"/>
          <w:szCs w:val="36"/>
          <w:highlight w:val="none"/>
          <w:lang w:val="en-US" w:eastAsia="zh-CN"/>
        </w:rPr>
        <w:t>三、投标人基本情况简介（可根据实际情况自行编写）</w:t>
      </w:r>
    </w:p>
    <w:p>
      <w:pPr>
        <w:pStyle w:val="26"/>
        <w:rPr>
          <w:rFonts w:hint="eastAsia" w:ascii="仿宋" w:hAnsi="仿宋" w:eastAsia="仿宋" w:cs="仿宋"/>
          <w:color w:val="auto"/>
          <w:sz w:val="24"/>
          <w:szCs w:val="24"/>
          <w:highlight w:val="none"/>
          <w:lang w:val="zh-CN"/>
        </w:rPr>
      </w:pPr>
    </w:p>
    <w:p>
      <w:pPr>
        <w:spacing w:line="480" w:lineRule="exact"/>
        <w:jc w:val="center"/>
        <w:rPr>
          <w:rFonts w:hint="eastAsia" w:ascii="仿宋" w:hAnsi="仿宋" w:eastAsia="仿宋" w:cs="仿宋"/>
          <w:b/>
          <w:bCs/>
          <w:color w:val="auto"/>
          <w:sz w:val="24"/>
          <w:szCs w:val="24"/>
          <w:highlight w:val="none"/>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p>
    <w:p>
      <w:pPr>
        <w:pStyle w:val="14"/>
        <w:spacing w:line="360" w:lineRule="auto"/>
        <w:jc w:val="center"/>
        <w:rPr>
          <w:rFonts w:hint="eastAsia" w:ascii="仿宋" w:hAnsi="仿宋" w:eastAsia="仿宋" w:cs="仿宋"/>
          <w:b/>
          <w:snapToGrid w:val="0"/>
          <w:color w:val="auto"/>
          <w:kern w:val="0"/>
          <w:sz w:val="36"/>
          <w:szCs w:val="36"/>
          <w:highlight w:val="none"/>
          <w:lang w:eastAsia="zh-CN"/>
        </w:rPr>
      </w:pPr>
      <w:r>
        <w:rPr>
          <w:rFonts w:hint="eastAsia" w:ascii="仿宋" w:hAnsi="仿宋" w:eastAsia="仿宋" w:cs="仿宋"/>
          <w:b/>
          <w:snapToGrid w:val="0"/>
          <w:color w:val="auto"/>
          <w:kern w:val="0"/>
          <w:sz w:val="36"/>
          <w:szCs w:val="36"/>
          <w:highlight w:val="none"/>
          <w:lang w:eastAsia="zh-CN"/>
        </w:rPr>
        <w:t>四、资格审查文件</w:t>
      </w:r>
    </w:p>
    <w:p>
      <w:pPr>
        <w:jc w:val="left"/>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lang w:val="en-US" w:eastAsia="zh-CN"/>
        </w:rPr>
      </w:pPr>
    </w:p>
    <w:p>
      <w:pPr>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4.1  附营业执照等（</w:t>
      </w:r>
      <w:r>
        <w:rPr>
          <w:rFonts w:hint="eastAsia" w:ascii="仿宋" w:hAnsi="仿宋" w:eastAsia="仿宋" w:cs="仿宋"/>
          <w:b/>
          <w:bCs/>
          <w:color w:val="auto"/>
          <w:sz w:val="32"/>
          <w:szCs w:val="32"/>
          <w:lang w:val="en-US" w:eastAsia="zh-CN"/>
        </w:rPr>
        <w:t>律师事务所执业许可证</w:t>
      </w:r>
      <w:r>
        <w:rPr>
          <w:rFonts w:hint="eastAsia" w:ascii="仿宋" w:hAnsi="仿宋" w:eastAsia="仿宋" w:cs="仿宋"/>
          <w:b/>
          <w:bCs/>
          <w:color w:val="auto"/>
          <w:sz w:val="32"/>
          <w:szCs w:val="32"/>
          <w:highlight w:val="none"/>
          <w:lang w:val="en-US" w:eastAsia="zh-CN"/>
        </w:rPr>
        <w:t>）</w:t>
      </w:r>
    </w:p>
    <w:p>
      <w:pPr>
        <w:jc w:val="left"/>
        <w:rPr>
          <w:rFonts w:hint="eastAsia" w:ascii="仿宋" w:hAnsi="仿宋" w:eastAsia="仿宋" w:cs="仿宋"/>
          <w:b/>
          <w:bCs/>
          <w:color w:val="auto"/>
          <w:sz w:val="32"/>
          <w:szCs w:val="32"/>
          <w:highlight w:val="none"/>
        </w:rPr>
      </w:pPr>
    </w:p>
    <w:p>
      <w:pPr>
        <w:jc w:val="center"/>
        <w:rPr>
          <w:rFonts w:hint="eastAsia" w:ascii="仿宋" w:hAnsi="仿宋" w:eastAsia="仿宋" w:cs="仿宋"/>
          <w:b/>
          <w:bCs/>
          <w:color w:val="auto"/>
          <w:sz w:val="32"/>
          <w:szCs w:val="32"/>
          <w:highlight w:val="none"/>
          <w:lang w:val="en-US" w:eastAsia="zh-CN"/>
        </w:rPr>
      </w:pPr>
    </w:p>
    <w:p>
      <w:pPr>
        <w:jc w:val="center"/>
        <w:rPr>
          <w:rFonts w:hint="eastAsia" w:ascii="仿宋" w:hAnsi="仿宋" w:eastAsia="仿宋" w:cs="仿宋"/>
          <w:b/>
          <w:bCs/>
          <w:color w:val="auto"/>
          <w:sz w:val="32"/>
          <w:szCs w:val="32"/>
          <w:highlight w:val="none"/>
          <w:lang w:val="en-US" w:eastAsia="zh-CN"/>
        </w:rPr>
      </w:pPr>
    </w:p>
    <w:p>
      <w:pPr>
        <w:rPr>
          <w:rFonts w:hint="eastAsia"/>
          <w:sz w:val="32"/>
          <w:szCs w:val="32"/>
          <w:highlight w:val="none"/>
        </w:rPr>
      </w:pPr>
    </w:p>
    <w:p>
      <w:pPr>
        <w:jc w:val="left"/>
        <w:rPr>
          <w:rFonts w:hint="eastAsia" w:ascii="仿宋" w:hAnsi="仿宋" w:eastAsia="仿宋" w:cs="仿宋"/>
          <w:b/>
          <w:bCs/>
          <w:color w:val="auto"/>
          <w:sz w:val="32"/>
          <w:szCs w:val="32"/>
          <w:highlight w:val="none"/>
        </w:rPr>
      </w:pPr>
    </w:p>
    <w:p>
      <w:pPr>
        <w:jc w:val="left"/>
        <w:rPr>
          <w:rFonts w:hint="eastAsia" w:ascii="仿宋" w:hAnsi="仿宋" w:eastAsia="仿宋" w:cs="仿宋"/>
          <w:b/>
          <w:bCs/>
          <w:color w:val="auto"/>
          <w:sz w:val="32"/>
          <w:szCs w:val="32"/>
          <w:highlight w:val="none"/>
        </w:rPr>
      </w:pPr>
    </w:p>
    <w:p>
      <w:pPr>
        <w:jc w:val="left"/>
        <w:rPr>
          <w:rFonts w:hint="eastAsia" w:ascii="仿宋" w:hAnsi="仿宋" w:eastAsia="仿宋" w:cs="仿宋"/>
          <w:b/>
          <w:bCs/>
          <w:color w:val="auto"/>
          <w:sz w:val="32"/>
          <w:szCs w:val="32"/>
          <w:highlight w:val="none"/>
        </w:rPr>
      </w:pPr>
    </w:p>
    <w:p>
      <w:pPr>
        <w:rPr>
          <w:rFonts w:hint="eastAsia"/>
          <w:highlight w:val="none"/>
        </w:rPr>
      </w:pPr>
    </w:p>
    <w:p>
      <w:pPr>
        <w:pStyle w:val="3"/>
        <w:numPr>
          <w:ilvl w:val="1"/>
          <w:numId w:val="0"/>
        </w:numPr>
        <w:rPr>
          <w:rFonts w:hint="eastAsia"/>
          <w:highlight w:val="none"/>
        </w:rPr>
      </w:pPr>
    </w:p>
    <w:p>
      <w:pPr>
        <w:jc w:val="left"/>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4.2投标人信用承诺函</w:t>
      </w:r>
    </w:p>
    <w:p>
      <w:pPr>
        <w:autoSpaceDE w:val="0"/>
        <w:autoSpaceDN w:val="0"/>
        <w:adjustRightInd w:val="0"/>
        <w:spacing w:line="360" w:lineRule="auto"/>
        <w:jc w:val="center"/>
        <w:rPr>
          <w:rFonts w:hint="eastAsia" w:ascii="仿宋" w:hAnsi="仿宋" w:eastAsia="仿宋" w:cs="仿宋"/>
          <w:b/>
          <w:bCs/>
          <w:sz w:val="24"/>
          <w:szCs w:val="24"/>
          <w:highlight w:val="none"/>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致</w:t>
      </w:r>
      <w:r>
        <w:rPr>
          <w:rFonts w:hint="eastAsia" w:ascii="仿宋" w:hAnsi="仿宋" w:eastAsia="仿宋" w:cs="仿宋"/>
          <w:color w:val="000000"/>
          <w:kern w:val="0"/>
          <w:sz w:val="28"/>
          <w:szCs w:val="28"/>
          <w:highlight w:val="none"/>
          <w:u w:val="single"/>
          <w:lang w:val="en-US" w:eastAsia="zh-CN" w:bidi="ar"/>
        </w:rPr>
        <w:t>许昌市城投发展集团有限公司</w:t>
      </w:r>
      <w:r>
        <w:rPr>
          <w:rFonts w:hint="eastAsia" w:ascii="仿宋" w:hAnsi="仿宋" w:eastAsia="仿宋" w:cs="仿宋"/>
          <w:color w:val="000000"/>
          <w:kern w:val="0"/>
          <w:sz w:val="28"/>
          <w:szCs w:val="28"/>
          <w:highlight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单位名称: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统一社会信用代码（身份证号码）: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法定代表人（负责人）: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联系地址和电话： </w:t>
      </w:r>
      <w:r>
        <w:rPr>
          <w:rFonts w:hint="eastAsia" w:ascii="仿宋" w:hAnsi="仿宋" w:eastAsia="仿宋" w:cs="仿宋"/>
          <w:sz w:val="28"/>
          <w:szCs w:val="28"/>
          <w:highlight w:val="none"/>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一、我单位自愿参加本次询比采购活动，严格遵守相关法律法规，依法诚信经营，无条件遵守本次询比采购活动的各项规定，我单位（本人）郑重承诺，我单位符合《中华人民共和国政府采购法》第二十二条规定、询比采购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color w:val="000000"/>
          <w:kern w:val="0"/>
          <w:sz w:val="28"/>
          <w:szCs w:val="28"/>
          <w:highlight w:val="none"/>
          <w:lang w:val="en-US" w:eastAsia="zh-CN" w:bidi="ar"/>
        </w:rPr>
        <w:t>（四）符合法律、行政法规规定的其他条件。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二、我单位保证上述承诺事项的真实性。如有弄虚作假或其他违法违规行为，自愿按照规定将违背承诺行为作为失信行为记录到社会信用信息平台，列入不良行为记录名单，在</w:t>
      </w:r>
      <w:r>
        <w:rPr>
          <w:rFonts w:hint="eastAsia" w:ascii="仿宋" w:hAnsi="仿宋" w:eastAsia="仿宋" w:cs="仿宋"/>
          <w:b/>
          <w:bCs/>
          <w:color w:val="000000"/>
          <w:kern w:val="0"/>
          <w:sz w:val="28"/>
          <w:szCs w:val="28"/>
          <w:highlight w:val="none"/>
          <w:lang w:val="en-US" w:eastAsia="zh-CN" w:bidi="ar"/>
        </w:rPr>
        <w:t>两年内禁止参加许昌市城投发展集团有限公司及其子公司的所有招标（询比采购）活动</w:t>
      </w:r>
      <w:r>
        <w:rPr>
          <w:rFonts w:hint="eastAsia" w:ascii="仿宋" w:hAnsi="仿宋" w:eastAsia="仿宋" w:cs="仿宋"/>
          <w:color w:val="000000"/>
          <w:kern w:val="0"/>
          <w:sz w:val="28"/>
          <w:szCs w:val="28"/>
          <w:highlight w:val="none"/>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sz w:val="28"/>
          <w:szCs w:val="28"/>
          <w:highlight w:val="none"/>
        </w:rPr>
      </w:pPr>
    </w:p>
    <w:p>
      <w:pPr>
        <w:spacing w:before="100" w:beforeAutospacing="1" w:after="100" w:afterAutospacing="1" w:line="360" w:lineRule="auto"/>
        <w:ind w:firstLine="560" w:firstLineChars="200"/>
        <w:jc w:val="left"/>
        <w:rPr>
          <w:rFonts w:hint="eastAsia" w:ascii="仿宋" w:hAnsi="仿宋" w:eastAsia="仿宋" w:cs="仿宋"/>
          <w:color w:val="000000"/>
          <w:kern w:val="0"/>
          <w:sz w:val="28"/>
          <w:szCs w:val="28"/>
          <w:highlight w:val="none"/>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3"/>
        <w:numPr>
          <w:ilvl w:val="1"/>
          <w:numId w:val="0"/>
        </w:numPr>
        <w:rPr>
          <w:rFonts w:hint="eastAsia"/>
          <w:highlight w:val="none"/>
          <w:lang w:val="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en-US" w:eastAsia="zh-CN"/>
        </w:rPr>
      </w:pPr>
      <w:r>
        <w:rPr>
          <w:rFonts w:hint="eastAsia" w:ascii="仿宋" w:hAnsi="仿宋" w:eastAsia="仿宋" w:cs="仿宋"/>
          <w:b/>
          <w:snapToGrid w:val="0"/>
          <w:color w:val="auto"/>
          <w:kern w:val="0"/>
          <w:sz w:val="36"/>
          <w:szCs w:val="36"/>
          <w:highlight w:val="none"/>
          <w:lang w:val="zh-CN" w:eastAsia="zh-CN"/>
        </w:rPr>
        <w:t>五、</w:t>
      </w:r>
      <w:r>
        <w:rPr>
          <w:rFonts w:hint="eastAsia" w:ascii="仿宋" w:hAnsi="仿宋" w:eastAsia="仿宋" w:cs="仿宋"/>
          <w:b/>
          <w:snapToGrid w:val="0"/>
          <w:color w:val="auto"/>
          <w:kern w:val="0"/>
          <w:sz w:val="36"/>
          <w:szCs w:val="36"/>
          <w:highlight w:val="none"/>
          <w:lang w:val="en-US" w:eastAsia="zh-CN"/>
        </w:rPr>
        <w:t>评分相关文件</w:t>
      </w:r>
    </w:p>
    <w:p>
      <w:pPr>
        <w:pStyle w:val="14"/>
        <w:spacing w:line="360" w:lineRule="auto"/>
        <w:jc w:val="center"/>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14"/>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（投标人自行编制，需附项目团队人员法律从业职资格证明文件）</w:t>
      </w: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left"/>
        <w:rPr>
          <w:rFonts w:hint="eastAsia" w:ascii="仿宋" w:hAnsi="仿宋" w:eastAsia="仿宋" w:cs="仿宋"/>
          <w:color w:val="000000"/>
          <w:kern w:val="0"/>
          <w:sz w:val="28"/>
          <w:szCs w:val="28"/>
          <w:highlight w:val="none"/>
          <w:lang w:val="en-US" w:eastAsia="zh-CN" w:bidi="ar"/>
        </w:rPr>
      </w:pPr>
    </w:p>
    <w:p>
      <w:pPr>
        <w:rPr>
          <w:rFonts w:hint="eastAsia" w:ascii="仿宋" w:hAnsi="仿宋" w:eastAsia="仿宋" w:cs="仿宋"/>
          <w:color w:val="auto"/>
          <w:sz w:val="20"/>
          <w:szCs w:val="1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5.2公司债券法律服务方案</w:t>
      </w:r>
    </w:p>
    <w:p>
      <w:pP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5.3法律服务质量承诺</w:t>
      </w:r>
    </w:p>
    <w:p>
      <w:pPr>
        <w:pStyle w:val="14"/>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zh-CN"/>
        </w:rPr>
        <w:t>（投标人自行编制，若未能完成承诺事项，中标人自愿放弃中标资格并同意询比采购人将其失信事项对外公布。）</w:t>
      </w:r>
    </w:p>
    <w:p>
      <w:pPr>
        <w:pStyle w:val="14"/>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highlight w:val="none"/>
          <w:lang w:val="en-US" w:eastAsia="zh-CN" w:bidi="ar"/>
        </w:rPr>
      </w:pPr>
    </w:p>
    <w:p>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color w:val="000000"/>
          <w:kern w:val="0"/>
          <w:sz w:val="28"/>
          <w:szCs w:val="28"/>
          <w:lang w:val="en-US" w:eastAsia="zh-CN" w:bidi="ar"/>
        </w:rPr>
        <w:t xml:space="preserve">                           </w:t>
      </w: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b/>
          <w:bCs/>
          <w:color w:val="auto"/>
          <w:sz w:val="28"/>
          <w:szCs w:val="28"/>
          <w:highlight w:val="none"/>
        </w:rPr>
      </w:pPr>
    </w:p>
    <w:p>
      <w:pPr>
        <w:pStyle w:val="14"/>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5.4债券法律服务合同</w:t>
      </w:r>
    </w:p>
    <w:p>
      <w:pPr>
        <w:pStyle w:val="14"/>
        <w:spacing w:line="360" w:lineRule="auto"/>
        <w:jc w:val="center"/>
        <w:rPr>
          <w:rFonts w:hint="default" w:ascii="仿宋" w:hAnsi="仿宋" w:eastAsia="仿宋" w:cs="仿宋"/>
          <w:b/>
          <w:bCs/>
          <w:color w:val="auto"/>
          <w:sz w:val="28"/>
          <w:szCs w:val="28"/>
          <w:highlight w:val="none"/>
          <w:lang w:val="en-US" w:eastAsia="zh-CN"/>
        </w:rPr>
      </w:pPr>
    </w:p>
    <w:p>
      <w:pPr>
        <w:pStyle w:val="14"/>
        <w:spacing w:line="360" w:lineRule="auto"/>
        <w:jc w:val="both"/>
        <w:rPr>
          <w:rFonts w:hint="eastAsia" w:ascii="仿宋" w:hAnsi="仿宋" w:eastAsia="仿宋" w:cs="仿宋"/>
          <w:b/>
          <w:bCs/>
          <w:color w:val="auto"/>
          <w:sz w:val="28"/>
          <w:szCs w:val="28"/>
          <w:highlight w:val="none"/>
          <w:lang w:val="zh-CN"/>
        </w:rPr>
      </w:pPr>
    </w:p>
    <w:p>
      <w:pPr>
        <w:pStyle w:val="14"/>
        <w:spacing w:line="360" w:lineRule="auto"/>
        <w:jc w:val="both"/>
        <w:rPr>
          <w:rFonts w:hint="eastAsia" w:ascii="仿宋" w:hAnsi="仿宋" w:eastAsia="仿宋" w:cs="仿宋"/>
          <w:b/>
          <w:bCs/>
          <w:color w:val="auto"/>
          <w:sz w:val="28"/>
          <w:szCs w:val="28"/>
          <w:highlight w:val="none"/>
          <w:lang w:val="en-US" w:eastAsia="zh-CN"/>
        </w:rPr>
      </w:pPr>
    </w:p>
    <w:p>
      <w:pPr>
        <w:pStyle w:val="14"/>
        <w:spacing w:line="360" w:lineRule="auto"/>
        <w:jc w:val="center"/>
        <w:rPr>
          <w:rFonts w:hint="eastAsia" w:ascii="仿宋" w:hAnsi="仿宋" w:eastAsia="仿宋" w:cs="仿宋"/>
          <w:b/>
          <w:snapToGrid w:val="0"/>
          <w:color w:val="auto"/>
          <w:kern w:val="0"/>
          <w:sz w:val="36"/>
          <w:szCs w:val="36"/>
          <w:highlight w:val="none"/>
          <w:lang w:val="zh-CN" w:eastAsia="zh-CN"/>
        </w:rPr>
      </w:pPr>
      <w:r>
        <w:rPr>
          <w:rFonts w:hint="eastAsia" w:ascii="仿宋" w:hAnsi="仿宋" w:eastAsia="仿宋" w:cs="仿宋"/>
          <w:b/>
          <w:snapToGrid w:val="0"/>
          <w:color w:val="auto"/>
          <w:kern w:val="0"/>
          <w:sz w:val="36"/>
          <w:szCs w:val="36"/>
          <w:highlight w:val="none"/>
          <w:lang w:val="zh-CN" w:eastAsia="zh-CN"/>
        </w:rPr>
        <w:t>六、其他资料（若有）</w:t>
      </w:r>
    </w:p>
    <w:p>
      <w:pPr>
        <w:pStyle w:val="14"/>
        <w:spacing w:line="360" w:lineRule="auto"/>
        <w:jc w:val="center"/>
        <w:rPr>
          <w:rFonts w:hint="eastAsia" w:ascii="仿宋" w:hAnsi="仿宋" w:eastAsia="仿宋" w:cs="仿宋"/>
          <w:b/>
          <w:bCs/>
          <w:color w:val="auto"/>
          <w:sz w:val="28"/>
          <w:szCs w:val="28"/>
          <w:highlight w:val="none"/>
        </w:rPr>
      </w:pPr>
    </w:p>
    <w:p>
      <w:pPr>
        <w:pStyle w:val="14"/>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highlight w:val="none"/>
          <w:shd w:val="clear" w:color="060000" w:fill="auto"/>
          <w:lang w:eastAsia="zh-CN"/>
        </w:rPr>
      </w:pPr>
      <w:r>
        <w:rPr>
          <w:rFonts w:hint="eastAsia" w:ascii="仿宋" w:hAnsi="仿宋" w:eastAsia="仿宋" w:cs="仿宋"/>
          <w:b/>
          <w:color w:val="auto"/>
          <w:sz w:val="36"/>
          <w:szCs w:val="36"/>
          <w:highlight w:val="none"/>
          <w:shd w:val="clear" w:color="060000" w:fill="auto"/>
          <w:lang w:eastAsia="zh-CN"/>
        </w:rPr>
        <w:t>注：投标文件首页加盖公章，并加盖骑缝章。</w:t>
      </w:r>
    </w:p>
    <w:sectPr>
      <w:footerReference r:id="rId5" w:type="default"/>
      <w:pgSz w:w="11906" w:h="16838"/>
      <w:pgMar w:top="1440" w:right="1800" w:bottom="1440" w:left="180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jc w:val="center"/>
                          </w:pPr>
                          <w:r>
                            <w:fldChar w:fldCharType="begin"/>
                          </w:r>
                          <w:r>
                            <w:instrText xml:space="preserve"> PAGE  \* MERGEFORMAT </w:instrText>
                          </w:r>
                          <w:r>
                            <w:fldChar w:fldCharType="separate"/>
                          </w:r>
                          <w:r>
                            <w:t>37</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q042cwBAACc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urTjZzAEAAJwDAAAOAAAAAAAAAAEAIAAAAB4BAABkcnMvZTJv&#10;RG9jLnhtbFBLBQYAAAAABgAGAFkBAABcBQAAAAA=&#10;">
              <v:fill on="f" focussize="0,0"/>
              <v:stroke on="f"/>
              <v:imagedata o:title=""/>
              <o:lock v:ext="edit" aspectratio="f"/>
              <v:textbox inset="0mm,0mm,0mm,0mm" style="mso-fit-shape-to-text:t;">
                <w:txbxContent>
                  <w:p>
                    <w:pPr>
                      <w:pStyle w:val="17"/>
                      <w:jc w:val="cente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F800"/>
    <w:multiLevelType w:val="singleLevel"/>
    <w:tmpl w:val="90BFF800"/>
    <w:lvl w:ilvl="0" w:tentative="0">
      <w:start w:val="1"/>
      <w:numFmt w:val="chineseCounting"/>
      <w:suff w:val="nothing"/>
      <w:lvlText w:val="%1、"/>
      <w:lvlJc w:val="left"/>
      <w:rPr>
        <w:rFonts w:hint="eastAsia"/>
      </w:rPr>
    </w:lvl>
  </w:abstractNum>
  <w:abstractNum w:abstractNumId="1">
    <w:nsid w:val="C1DB1DDC"/>
    <w:multiLevelType w:val="singleLevel"/>
    <w:tmpl w:val="C1DB1DDC"/>
    <w:lvl w:ilvl="0" w:tentative="0">
      <w:start w:val="1"/>
      <w:numFmt w:val="chineseCounting"/>
      <w:suff w:val="nothing"/>
      <w:lvlText w:val="%1、"/>
      <w:lvlJc w:val="left"/>
      <w:rPr>
        <w:rFonts w:hint="eastAsia"/>
      </w:rPr>
    </w:lvl>
  </w:abstractNum>
  <w:abstractNum w:abstractNumId="2">
    <w:nsid w:val="FA707698"/>
    <w:multiLevelType w:val="singleLevel"/>
    <w:tmpl w:val="FA707698"/>
    <w:lvl w:ilvl="0" w:tentative="0">
      <w:start w:val="6"/>
      <w:numFmt w:val="chineseCounting"/>
      <w:suff w:val="nothing"/>
      <w:lvlText w:val="%1、"/>
      <w:lvlJc w:val="left"/>
      <w:rPr>
        <w:rFonts w:hint="eastAsia"/>
      </w:rPr>
    </w:lvl>
  </w:abstractNum>
  <w:abstractNum w:abstractNumId="3">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4">
    <w:nsid w:val="01DE1E8E"/>
    <w:multiLevelType w:val="singleLevel"/>
    <w:tmpl w:val="01DE1E8E"/>
    <w:lvl w:ilvl="0" w:tentative="0">
      <w:start w:val="1"/>
      <w:numFmt w:val="decimal"/>
      <w:suff w:val="nothing"/>
      <w:lvlText w:val="%1、"/>
      <w:lvlJc w:val="left"/>
    </w:lvl>
  </w:abstractNum>
  <w:abstractNum w:abstractNumId="5">
    <w:nsid w:val="2CC8A4EC"/>
    <w:multiLevelType w:val="singleLevel"/>
    <w:tmpl w:val="2CC8A4EC"/>
    <w:lvl w:ilvl="0" w:tentative="0">
      <w:start w:val="1"/>
      <w:numFmt w:val="decimal"/>
      <w:pStyle w:val="5"/>
      <w:lvlText w:val="%1."/>
      <w:lvlJc w:val="left"/>
      <w:pPr>
        <w:tabs>
          <w:tab w:val="left" w:pos="360"/>
        </w:tabs>
        <w:ind w:left="360" w:hanging="360"/>
      </w:pPr>
    </w:lvl>
  </w:abstractNum>
  <w:abstractNum w:abstractNumId="6">
    <w:nsid w:val="59F817E8"/>
    <w:multiLevelType w:val="singleLevel"/>
    <w:tmpl w:val="59F817E8"/>
    <w:lvl w:ilvl="0" w:tentative="0">
      <w:start w:val="1"/>
      <w:numFmt w:val="chineseCounting"/>
      <w:pStyle w:val="52"/>
      <w:suff w:val="nothing"/>
      <w:lvlText w:val="%1、"/>
      <w:lvlJc w:val="left"/>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iMWM0OTIyMzExZmVkMzMyZjMyYTIxYTE5YmVhNmYifQ=="/>
  </w:docVars>
  <w:rsids>
    <w:rsidRoot w:val="630C5CCA"/>
    <w:rsid w:val="00014CE5"/>
    <w:rsid w:val="000345DB"/>
    <w:rsid w:val="00075731"/>
    <w:rsid w:val="000F0A75"/>
    <w:rsid w:val="00126D41"/>
    <w:rsid w:val="001304B0"/>
    <w:rsid w:val="00176DBD"/>
    <w:rsid w:val="00197710"/>
    <w:rsid w:val="001B19DF"/>
    <w:rsid w:val="001F1974"/>
    <w:rsid w:val="002014CE"/>
    <w:rsid w:val="00202D74"/>
    <w:rsid w:val="00210264"/>
    <w:rsid w:val="002415B6"/>
    <w:rsid w:val="002610D4"/>
    <w:rsid w:val="00273728"/>
    <w:rsid w:val="0028260B"/>
    <w:rsid w:val="00287EEA"/>
    <w:rsid w:val="002F716E"/>
    <w:rsid w:val="00303F31"/>
    <w:rsid w:val="003103B4"/>
    <w:rsid w:val="0033712C"/>
    <w:rsid w:val="00362470"/>
    <w:rsid w:val="003674DD"/>
    <w:rsid w:val="003675F0"/>
    <w:rsid w:val="0037299E"/>
    <w:rsid w:val="003C6593"/>
    <w:rsid w:val="004036F9"/>
    <w:rsid w:val="00426425"/>
    <w:rsid w:val="00481193"/>
    <w:rsid w:val="004C190C"/>
    <w:rsid w:val="004E6EA7"/>
    <w:rsid w:val="00543EE4"/>
    <w:rsid w:val="005447E0"/>
    <w:rsid w:val="00546EF0"/>
    <w:rsid w:val="00553D04"/>
    <w:rsid w:val="00570774"/>
    <w:rsid w:val="005D2578"/>
    <w:rsid w:val="005E5B43"/>
    <w:rsid w:val="00627959"/>
    <w:rsid w:val="00641E35"/>
    <w:rsid w:val="006454DF"/>
    <w:rsid w:val="006D5DF1"/>
    <w:rsid w:val="006D6508"/>
    <w:rsid w:val="00715AA0"/>
    <w:rsid w:val="00735D7F"/>
    <w:rsid w:val="00770DE1"/>
    <w:rsid w:val="007E63DB"/>
    <w:rsid w:val="008741EF"/>
    <w:rsid w:val="00874C28"/>
    <w:rsid w:val="00893649"/>
    <w:rsid w:val="008E5B16"/>
    <w:rsid w:val="009010A4"/>
    <w:rsid w:val="0094375F"/>
    <w:rsid w:val="00973FE5"/>
    <w:rsid w:val="009A0954"/>
    <w:rsid w:val="009E4D10"/>
    <w:rsid w:val="00A83A54"/>
    <w:rsid w:val="00A94457"/>
    <w:rsid w:val="00AB051B"/>
    <w:rsid w:val="00AD2586"/>
    <w:rsid w:val="00B8220B"/>
    <w:rsid w:val="00B82CAA"/>
    <w:rsid w:val="00B853CF"/>
    <w:rsid w:val="00B979A0"/>
    <w:rsid w:val="00BA0AD3"/>
    <w:rsid w:val="00BD25BF"/>
    <w:rsid w:val="00BD402E"/>
    <w:rsid w:val="00C11035"/>
    <w:rsid w:val="00C12E24"/>
    <w:rsid w:val="00C2510B"/>
    <w:rsid w:val="00C46FA9"/>
    <w:rsid w:val="00D23FE4"/>
    <w:rsid w:val="00DE69B5"/>
    <w:rsid w:val="00E14A25"/>
    <w:rsid w:val="00E47705"/>
    <w:rsid w:val="00EA509F"/>
    <w:rsid w:val="00EB27AA"/>
    <w:rsid w:val="00EB4BAA"/>
    <w:rsid w:val="00EB5811"/>
    <w:rsid w:val="00ED22A3"/>
    <w:rsid w:val="00ED6FB8"/>
    <w:rsid w:val="00EE048C"/>
    <w:rsid w:val="00EE535D"/>
    <w:rsid w:val="00EF413A"/>
    <w:rsid w:val="00F0426C"/>
    <w:rsid w:val="00F90EFF"/>
    <w:rsid w:val="00FE5D69"/>
    <w:rsid w:val="00FF3955"/>
    <w:rsid w:val="010C0502"/>
    <w:rsid w:val="013C716E"/>
    <w:rsid w:val="015A0EEF"/>
    <w:rsid w:val="01944054"/>
    <w:rsid w:val="019B2BEF"/>
    <w:rsid w:val="01A754AC"/>
    <w:rsid w:val="01BD7A4F"/>
    <w:rsid w:val="01F42D45"/>
    <w:rsid w:val="022234BA"/>
    <w:rsid w:val="02326E3B"/>
    <w:rsid w:val="02553FCA"/>
    <w:rsid w:val="026B1259"/>
    <w:rsid w:val="02AD2285"/>
    <w:rsid w:val="02FB57F1"/>
    <w:rsid w:val="0308368E"/>
    <w:rsid w:val="031E6F4C"/>
    <w:rsid w:val="03FD2384"/>
    <w:rsid w:val="03FE312B"/>
    <w:rsid w:val="04275653"/>
    <w:rsid w:val="04677423"/>
    <w:rsid w:val="048E7480"/>
    <w:rsid w:val="04992949"/>
    <w:rsid w:val="04AE0156"/>
    <w:rsid w:val="04C764D1"/>
    <w:rsid w:val="04DD45FB"/>
    <w:rsid w:val="053334A3"/>
    <w:rsid w:val="058F525E"/>
    <w:rsid w:val="059861B2"/>
    <w:rsid w:val="05FB5A9A"/>
    <w:rsid w:val="05FC1EA1"/>
    <w:rsid w:val="06124783"/>
    <w:rsid w:val="06551615"/>
    <w:rsid w:val="06B91756"/>
    <w:rsid w:val="06E14AFA"/>
    <w:rsid w:val="073267E9"/>
    <w:rsid w:val="076745CB"/>
    <w:rsid w:val="07726C54"/>
    <w:rsid w:val="07862691"/>
    <w:rsid w:val="07A40A90"/>
    <w:rsid w:val="07CF39A8"/>
    <w:rsid w:val="07EE6482"/>
    <w:rsid w:val="07F36299"/>
    <w:rsid w:val="080000C0"/>
    <w:rsid w:val="0840235A"/>
    <w:rsid w:val="08B20716"/>
    <w:rsid w:val="08CB210B"/>
    <w:rsid w:val="08DA591A"/>
    <w:rsid w:val="08F5760F"/>
    <w:rsid w:val="09092C22"/>
    <w:rsid w:val="09110F69"/>
    <w:rsid w:val="09376339"/>
    <w:rsid w:val="093C74AB"/>
    <w:rsid w:val="094B62C2"/>
    <w:rsid w:val="09FD7499"/>
    <w:rsid w:val="0A0107ED"/>
    <w:rsid w:val="0A0F77E2"/>
    <w:rsid w:val="0A163877"/>
    <w:rsid w:val="0A1741F1"/>
    <w:rsid w:val="0A4C1970"/>
    <w:rsid w:val="0A5C6B02"/>
    <w:rsid w:val="0A873F23"/>
    <w:rsid w:val="0AC2556B"/>
    <w:rsid w:val="0AC46FD9"/>
    <w:rsid w:val="0B1F3CE3"/>
    <w:rsid w:val="0B261B53"/>
    <w:rsid w:val="0B2D12C3"/>
    <w:rsid w:val="0B367E19"/>
    <w:rsid w:val="0B620233"/>
    <w:rsid w:val="0B8D0851"/>
    <w:rsid w:val="0BA61308"/>
    <w:rsid w:val="0BC62C8C"/>
    <w:rsid w:val="0BCF6E3B"/>
    <w:rsid w:val="0BF4439B"/>
    <w:rsid w:val="0BFE2E75"/>
    <w:rsid w:val="0BFF607D"/>
    <w:rsid w:val="0C2D568A"/>
    <w:rsid w:val="0C394176"/>
    <w:rsid w:val="0C6B181D"/>
    <w:rsid w:val="0C85421C"/>
    <w:rsid w:val="0C9D4705"/>
    <w:rsid w:val="0CB13FB5"/>
    <w:rsid w:val="0CB969F2"/>
    <w:rsid w:val="0CE30634"/>
    <w:rsid w:val="0CE628C0"/>
    <w:rsid w:val="0CEF0CD8"/>
    <w:rsid w:val="0D5D0460"/>
    <w:rsid w:val="0D6C37E6"/>
    <w:rsid w:val="0D6D6787"/>
    <w:rsid w:val="0D7D0092"/>
    <w:rsid w:val="0D8E229F"/>
    <w:rsid w:val="0DB205B8"/>
    <w:rsid w:val="0DE60F97"/>
    <w:rsid w:val="0E59677C"/>
    <w:rsid w:val="0E5C05EF"/>
    <w:rsid w:val="0E6D45AA"/>
    <w:rsid w:val="0F1A576B"/>
    <w:rsid w:val="0F29227F"/>
    <w:rsid w:val="0F3C1993"/>
    <w:rsid w:val="0F3F5ECC"/>
    <w:rsid w:val="0F5B5841"/>
    <w:rsid w:val="0F8C6010"/>
    <w:rsid w:val="0F917E25"/>
    <w:rsid w:val="0FF1616E"/>
    <w:rsid w:val="105570A4"/>
    <w:rsid w:val="106A54DC"/>
    <w:rsid w:val="10B93643"/>
    <w:rsid w:val="10BC2049"/>
    <w:rsid w:val="10BD6274"/>
    <w:rsid w:val="10C77C97"/>
    <w:rsid w:val="10DB5A15"/>
    <w:rsid w:val="113E7AD2"/>
    <w:rsid w:val="114B450A"/>
    <w:rsid w:val="115014D2"/>
    <w:rsid w:val="115715E8"/>
    <w:rsid w:val="116D470F"/>
    <w:rsid w:val="11702FA8"/>
    <w:rsid w:val="11845B85"/>
    <w:rsid w:val="118E0DF0"/>
    <w:rsid w:val="119C2C60"/>
    <w:rsid w:val="119F4A7B"/>
    <w:rsid w:val="11B251A7"/>
    <w:rsid w:val="11B81FE1"/>
    <w:rsid w:val="11C56917"/>
    <w:rsid w:val="11EC4489"/>
    <w:rsid w:val="11FA4BEA"/>
    <w:rsid w:val="12127FED"/>
    <w:rsid w:val="121466FB"/>
    <w:rsid w:val="12691FF2"/>
    <w:rsid w:val="12724E69"/>
    <w:rsid w:val="12B652F8"/>
    <w:rsid w:val="12B75B24"/>
    <w:rsid w:val="12DB5F87"/>
    <w:rsid w:val="12F26B7A"/>
    <w:rsid w:val="132964DD"/>
    <w:rsid w:val="132A0CBC"/>
    <w:rsid w:val="132B7CA2"/>
    <w:rsid w:val="134273A6"/>
    <w:rsid w:val="134D2675"/>
    <w:rsid w:val="138959E3"/>
    <w:rsid w:val="13AC347F"/>
    <w:rsid w:val="140E5EE8"/>
    <w:rsid w:val="14260297"/>
    <w:rsid w:val="1461426A"/>
    <w:rsid w:val="14951DDD"/>
    <w:rsid w:val="14B9009A"/>
    <w:rsid w:val="14C13DF5"/>
    <w:rsid w:val="14DD52B7"/>
    <w:rsid w:val="1568300C"/>
    <w:rsid w:val="1578154F"/>
    <w:rsid w:val="15B61D16"/>
    <w:rsid w:val="15D370F1"/>
    <w:rsid w:val="15DC5FD5"/>
    <w:rsid w:val="15E67F61"/>
    <w:rsid w:val="16311C5B"/>
    <w:rsid w:val="1636461D"/>
    <w:rsid w:val="16634A5A"/>
    <w:rsid w:val="16797AE5"/>
    <w:rsid w:val="168D490F"/>
    <w:rsid w:val="169B0083"/>
    <w:rsid w:val="16A23764"/>
    <w:rsid w:val="16D47B5C"/>
    <w:rsid w:val="16F6268C"/>
    <w:rsid w:val="16FC471D"/>
    <w:rsid w:val="171066BC"/>
    <w:rsid w:val="172054F7"/>
    <w:rsid w:val="17294B3E"/>
    <w:rsid w:val="17317322"/>
    <w:rsid w:val="1765168D"/>
    <w:rsid w:val="1776002C"/>
    <w:rsid w:val="17AB5D47"/>
    <w:rsid w:val="17FC0062"/>
    <w:rsid w:val="18185587"/>
    <w:rsid w:val="184B4CB4"/>
    <w:rsid w:val="185022E7"/>
    <w:rsid w:val="18AF4F15"/>
    <w:rsid w:val="19141836"/>
    <w:rsid w:val="191B509A"/>
    <w:rsid w:val="19B60BB4"/>
    <w:rsid w:val="19C26506"/>
    <w:rsid w:val="19CF5DED"/>
    <w:rsid w:val="19D0095E"/>
    <w:rsid w:val="19D13793"/>
    <w:rsid w:val="1A405F82"/>
    <w:rsid w:val="1A453E87"/>
    <w:rsid w:val="1A5359A6"/>
    <w:rsid w:val="1A943AF7"/>
    <w:rsid w:val="1AB13587"/>
    <w:rsid w:val="1AF000F5"/>
    <w:rsid w:val="1AF8344E"/>
    <w:rsid w:val="1BA57132"/>
    <w:rsid w:val="1BB548EA"/>
    <w:rsid w:val="1C1B1EB3"/>
    <w:rsid w:val="1C64690B"/>
    <w:rsid w:val="1CC601F8"/>
    <w:rsid w:val="1CE0656D"/>
    <w:rsid w:val="1D5303E2"/>
    <w:rsid w:val="1D5E1C8E"/>
    <w:rsid w:val="1DA925DA"/>
    <w:rsid w:val="1DB961F1"/>
    <w:rsid w:val="1DE85A76"/>
    <w:rsid w:val="1E03326D"/>
    <w:rsid w:val="1E432C32"/>
    <w:rsid w:val="1E4470D6"/>
    <w:rsid w:val="1E700A63"/>
    <w:rsid w:val="1E8F2A30"/>
    <w:rsid w:val="1EA41285"/>
    <w:rsid w:val="1EC027CA"/>
    <w:rsid w:val="1EC4076B"/>
    <w:rsid w:val="1ED94129"/>
    <w:rsid w:val="1EFF4E05"/>
    <w:rsid w:val="1F0749CA"/>
    <w:rsid w:val="1F16448C"/>
    <w:rsid w:val="1F314CE2"/>
    <w:rsid w:val="1F4304FF"/>
    <w:rsid w:val="1F54299E"/>
    <w:rsid w:val="1F667C26"/>
    <w:rsid w:val="1F6A30F2"/>
    <w:rsid w:val="1F7E79DE"/>
    <w:rsid w:val="1F867702"/>
    <w:rsid w:val="1F892C3A"/>
    <w:rsid w:val="1F953961"/>
    <w:rsid w:val="1F9574BD"/>
    <w:rsid w:val="1F9A4AD4"/>
    <w:rsid w:val="1FA27D3A"/>
    <w:rsid w:val="1FA9389D"/>
    <w:rsid w:val="201008A9"/>
    <w:rsid w:val="20136519"/>
    <w:rsid w:val="20387CC7"/>
    <w:rsid w:val="20641C8E"/>
    <w:rsid w:val="20684BD2"/>
    <w:rsid w:val="20820C14"/>
    <w:rsid w:val="20AA62CB"/>
    <w:rsid w:val="20B00A53"/>
    <w:rsid w:val="20B3482C"/>
    <w:rsid w:val="20F247D3"/>
    <w:rsid w:val="215B337E"/>
    <w:rsid w:val="217B07D6"/>
    <w:rsid w:val="21856A93"/>
    <w:rsid w:val="218712BD"/>
    <w:rsid w:val="218D2ED7"/>
    <w:rsid w:val="21A2432F"/>
    <w:rsid w:val="21D00C81"/>
    <w:rsid w:val="220254EF"/>
    <w:rsid w:val="22FE5379"/>
    <w:rsid w:val="231A0D78"/>
    <w:rsid w:val="231B23CF"/>
    <w:rsid w:val="234C4337"/>
    <w:rsid w:val="23812232"/>
    <w:rsid w:val="23A81EB5"/>
    <w:rsid w:val="23B100DE"/>
    <w:rsid w:val="23B6787C"/>
    <w:rsid w:val="23CA2DC0"/>
    <w:rsid w:val="23E21E1B"/>
    <w:rsid w:val="243125A8"/>
    <w:rsid w:val="24657AC4"/>
    <w:rsid w:val="246851A0"/>
    <w:rsid w:val="24882976"/>
    <w:rsid w:val="24B85E2E"/>
    <w:rsid w:val="24B97FD8"/>
    <w:rsid w:val="24E52C95"/>
    <w:rsid w:val="251578C4"/>
    <w:rsid w:val="251D442F"/>
    <w:rsid w:val="25662132"/>
    <w:rsid w:val="25866263"/>
    <w:rsid w:val="258F065A"/>
    <w:rsid w:val="25A71CF8"/>
    <w:rsid w:val="25EA6412"/>
    <w:rsid w:val="262923F6"/>
    <w:rsid w:val="2677273A"/>
    <w:rsid w:val="26840989"/>
    <w:rsid w:val="26AE5FBD"/>
    <w:rsid w:val="26CB0360"/>
    <w:rsid w:val="26D97E99"/>
    <w:rsid w:val="26ED5E31"/>
    <w:rsid w:val="271146E5"/>
    <w:rsid w:val="271907E2"/>
    <w:rsid w:val="272373C0"/>
    <w:rsid w:val="27295DF1"/>
    <w:rsid w:val="27604855"/>
    <w:rsid w:val="279D482F"/>
    <w:rsid w:val="27B32BD6"/>
    <w:rsid w:val="27C46B92"/>
    <w:rsid w:val="27C60B5C"/>
    <w:rsid w:val="27C645BC"/>
    <w:rsid w:val="27CA2623"/>
    <w:rsid w:val="27CD64A0"/>
    <w:rsid w:val="27EC4921"/>
    <w:rsid w:val="282A6442"/>
    <w:rsid w:val="28326AA6"/>
    <w:rsid w:val="288874B8"/>
    <w:rsid w:val="289E73E3"/>
    <w:rsid w:val="28A41075"/>
    <w:rsid w:val="28A62101"/>
    <w:rsid w:val="28A7322C"/>
    <w:rsid w:val="28A90122"/>
    <w:rsid w:val="28AD1416"/>
    <w:rsid w:val="28FA35CB"/>
    <w:rsid w:val="291A53C6"/>
    <w:rsid w:val="292D4147"/>
    <w:rsid w:val="29695641"/>
    <w:rsid w:val="29D46E34"/>
    <w:rsid w:val="29EA3339"/>
    <w:rsid w:val="29F660A7"/>
    <w:rsid w:val="2A0E114D"/>
    <w:rsid w:val="2A1B5CDA"/>
    <w:rsid w:val="2A327707"/>
    <w:rsid w:val="2A657603"/>
    <w:rsid w:val="2A7423E6"/>
    <w:rsid w:val="2AE97D0D"/>
    <w:rsid w:val="2B12230A"/>
    <w:rsid w:val="2B1C0D4E"/>
    <w:rsid w:val="2B256FD1"/>
    <w:rsid w:val="2C212804"/>
    <w:rsid w:val="2C275A9B"/>
    <w:rsid w:val="2C695F59"/>
    <w:rsid w:val="2CB74404"/>
    <w:rsid w:val="2CE0006A"/>
    <w:rsid w:val="2CE46E4B"/>
    <w:rsid w:val="2CFE05A2"/>
    <w:rsid w:val="2D0637A8"/>
    <w:rsid w:val="2D306F2B"/>
    <w:rsid w:val="2D684463"/>
    <w:rsid w:val="2DB15E8A"/>
    <w:rsid w:val="2DCE0BC4"/>
    <w:rsid w:val="2DCE1EBA"/>
    <w:rsid w:val="2E1D524D"/>
    <w:rsid w:val="2E2E1209"/>
    <w:rsid w:val="2E5F5866"/>
    <w:rsid w:val="2EA75CC0"/>
    <w:rsid w:val="2ECB4055"/>
    <w:rsid w:val="2ED85DFF"/>
    <w:rsid w:val="2EF7784D"/>
    <w:rsid w:val="2F185D21"/>
    <w:rsid w:val="2F63028D"/>
    <w:rsid w:val="2F715551"/>
    <w:rsid w:val="2F7716E9"/>
    <w:rsid w:val="2FB07FE7"/>
    <w:rsid w:val="2FD14C2F"/>
    <w:rsid w:val="300050A6"/>
    <w:rsid w:val="301D6429"/>
    <w:rsid w:val="30415FA8"/>
    <w:rsid w:val="308A44ED"/>
    <w:rsid w:val="309B5C9D"/>
    <w:rsid w:val="30A27C8C"/>
    <w:rsid w:val="30AE55C4"/>
    <w:rsid w:val="30DB3101"/>
    <w:rsid w:val="30FD4260"/>
    <w:rsid w:val="310821E5"/>
    <w:rsid w:val="31273A38"/>
    <w:rsid w:val="31427F5E"/>
    <w:rsid w:val="31500CAA"/>
    <w:rsid w:val="31576CC8"/>
    <w:rsid w:val="318A60B5"/>
    <w:rsid w:val="31A75185"/>
    <w:rsid w:val="31E42322"/>
    <w:rsid w:val="31ED3189"/>
    <w:rsid w:val="31F97998"/>
    <w:rsid w:val="32093536"/>
    <w:rsid w:val="32143CFA"/>
    <w:rsid w:val="32575E47"/>
    <w:rsid w:val="326D294D"/>
    <w:rsid w:val="32770033"/>
    <w:rsid w:val="327F7178"/>
    <w:rsid w:val="32A912AB"/>
    <w:rsid w:val="32AB643B"/>
    <w:rsid w:val="32B37F2E"/>
    <w:rsid w:val="32EB1476"/>
    <w:rsid w:val="32FD4C9D"/>
    <w:rsid w:val="3307064A"/>
    <w:rsid w:val="333B262F"/>
    <w:rsid w:val="333C6176"/>
    <w:rsid w:val="335E53D7"/>
    <w:rsid w:val="33680739"/>
    <w:rsid w:val="33896EE1"/>
    <w:rsid w:val="33CB12A8"/>
    <w:rsid w:val="33DF56D7"/>
    <w:rsid w:val="342A6A66"/>
    <w:rsid w:val="346C0259"/>
    <w:rsid w:val="349B6359"/>
    <w:rsid w:val="34A56DAE"/>
    <w:rsid w:val="34AB1F99"/>
    <w:rsid w:val="35234AC0"/>
    <w:rsid w:val="354B6EE5"/>
    <w:rsid w:val="356E638F"/>
    <w:rsid w:val="35B53E09"/>
    <w:rsid w:val="35C91753"/>
    <w:rsid w:val="35F76384"/>
    <w:rsid w:val="36005E25"/>
    <w:rsid w:val="360D1CB0"/>
    <w:rsid w:val="36300FF3"/>
    <w:rsid w:val="36771BA1"/>
    <w:rsid w:val="368E76EE"/>
    <w:rsid w:val="36986966"/>
    <w:rsid w:val="36A53B2F"/>
    <w:rsid w:val="36AF3103"/>
    <w:rsid w:val="36BA2093"/>
    <w:rsid w:val="36C726DC"/>
    <w:rsid w:val="36DB6050"/>
    <w:rsid w:val="36DF6E83"/>
    <w:rsid w:val="36F8714B"/>
    <w:rsid w:val="36FA7B79"/>
    <w:rsid w:val="37024FE0"/>
    <w:rsid w:val="373C3AAF"/>
    <w:rsid w:val="374970B3"/>
    <w:rsid w:val="3757121F"/>
    <w:rsid w:val="3768578B"/>
    <w:rsid w:val="37B962F4"/>
    <w:rsid w:val="37CB1054"/>
    <w:rsid w:val="37D44BCF"/>
    <w:rsid w:val="37E40B8A"/>
    <w:rsid w:val="380729ED"/>
    <w:rsid w:val="381E7EEB"/>
    <w:rsid w:val="381F1BC2"/>
    <w:rsid w:val="38406CB4"/>
    <w:rsid w:val="384A780D"/>
    <w:rsid w:val="39123EA1"/>
    <w:rsid w:val="39343BEA"/>
    <w:rsid w:val="396469CF"/>
    <w:rsid w:val="398C6488"/>
    <w:rsid w:val="39922270"/>
    <w:rsid w:val="39954300"/>
    <w:rsid w:val="39A1385A"/>
    <w:rsid w:val="39BA3CAC"/>
    <w:rsid w:val="39F01641"/>
    <w:rsid w:val="3A06128C"/>
    <w:rsid w:val="3A537A35"/>
    <w:rsid w:val="3A5E4C24"/>
    <w:rsid w:val="3A8A06D2"/>
    <w:rsid w:val="3AAD7959"/>
    <w:rsid w:val="3AFE3AA8"/>
    <w:rsid w:val="3B2D72D8"/>
    <w:rsid w:val="3B58781C"/>
    <w:rsid w:val="3B603FB5"/>
    <w:rsid w:val="3B9C1EA7"/>
    <w:rsid w:val="3BC1190E"/>
    <w:rsid w:val="3BDA477E"/>
    <w:rsid w:val="3C0626E5"/>
    <w:rsid w:val="3C074F53"/>
    <w:rsid w:val="3C1063F2"/>
    <w:rsid w:val="3C3F1C5A"/>
    <w:rsid w:val="3C434DC6"/>
    <w:rsid w:val="3C5250C0"/>
    <w:rsid w:val="3C605616"/>
    <w:rsid w:val="3CAF1767"/>
    <w:rsid w:val="3CCA47F2"/>
    <w:rsid w:val="3CE82D59"/>
    <w:rsid w:val="3D307460"/>
    <w:rsid w:val="3D336A22"/>
    <w:rsid w:val="3D815A91"/>
    <w:rsid w:val="3D935590"/>
    <w:rsid w:val="3E0B0C1F"/>
    <w:rsid w:val="3E3A0462"/>
    <w:rsid w:val="3E467EA9"/>
    <w:rsid w:val="3E5D4782"/>
    <w:rsid w:val="3E7D40EF"/>
    <w:rsid w:val="3EB4066C"/>
    <w:rsid w:val="3EDC4301"/>
    <w:rsid w:val="3EDF1821"/>
    <w:rsid w:val="3EE020AB"/>
    <w:rsid w:val="3EE326EF"/>
    <w:rsid w:val="3EE43BF5"/>
    <w:rsid w:val="3F051FBF"/>
    <w:rsid w:val="3F3348D1"/>
    <w:rsid w:val="3F4643A3"/>
    <w:rsid w:val="3F5D36FC"/>
    <w:rsid w:val="3F7C3208"/>
    <w:rsid w:val="3F9512AF"/>
    <w:rsid w:val="3FAB3EFB"/>
    <w:rsid w:val="3FC76DC7"/>
    <w:rsid w:val="3FFD02C3"/>
    <w:rsid w:val="40387CC5"/>
    <w:rsid w:val="406E6EF4"/>
    <w:rsid w:val="408E2A02"/>
    <w:rsid w:val="40EB7C06"/>
    <w:rsid w:val="40F34CBE"/>
    <w:rsid w:val="40FB0C4A"/>
    <w:rsid w:val="411B580C"/>
    <w:rsid w:val="4140157C"/>
    <w:rsid w:val="41720FB5"/>
    <w:rsid w:val="41B66084"/>
    <w:rsid w:val="41E850E1"/>
    <w:rsid w:val="42876CE2"/>
    <w:rsid w:val="428E4701"/>
    <w:rsid w:val="42CC3CF1"/>
    <w:rsid w:val="42D36040"/>
    <w:rsid w:val="42F869F2"/>
    <w:rsid w:val="43893B87"/>
    <w:rsid w:val="43AD6589"/>
    <w:rsid w:val="43EC504E"/>
    <w:rsid w:val="44261981"/>
    <w:rsid w:val="44681252"/>
    <w:rsid w:val="449974E9"/>
    <w:rsid w:val="44B813D4"/>
    <w:rsid w:val="44F70EBD"/>
    <w:rsid w:val="4507013A"/>
    <w:rsid w:val="455C1937"/>
    <w:rsid w:val="456652D4"/>
    <w:rsid w:val="458F7E0C"/>
    <w:rsid w:val="45A056B7"/>
    <w:rsid w:val="46047F8E"/>
    <w:rsid w:val="461A28EF"/>
    <w:rsid w:val="466A72CE"/>
    <w:rsid w:val="467D3578"/>
    <w:rsid w:val="46975DF4"/>
    <w:rsid w:val="46D110ED"/>
    <w:rsid w:val="46D775D5"/>
    <w:rsid w:val="472B0583"/>
    <w:rsid w:val="4766461F"/>
    <w:rsid w:val="477766D9"/>
    <w:rsid w:val="477C40B7"/>
    <w:rsid w:val="47977DAD"/>
    <w:rsid w:val="47B02837"/>
    <w:rsid w:val="48066BEC"/>
    <w:rsid w:val="48575D8F"/>
    <w:rsid w:val="48693111"/>
    <w:rsid w:val="489565B3"/>
    <w:rsid w:val="48A91760"/>
    <w:rsid w:val="48AD4E73"/>
    <w:rsid w:val="48B337FF"/>
    <w:rsid w:val="48B620CF"/>
    <w:rsid w:val="48C77E38"/>
    <w:rsid w:val="48EB7FCA"/>
    <w:rsid w:val="49247038"/>
    <w:rsid w:val="49316F70"/>
    <w:rsid w:val="49347C3B"/>
    <w:rsid w:val="49366D6C"/>
    <w:rsid w:val="493936A4"/>
    <w:rsid w:val="494B70D5"/>
    <w:rsid w:val="49AB32B1"/>
    <w:rsid w:val="49B02E7D"/>
    <w:rsid w:val="49B02FC2"/>
    <w:rsid w:val="49B31F01"/>
    <w:rsid w:val="49BB4089"/>
    <w:rsid w:val="49C97DEE"/>
    <w:rsid w:val="49DC79F6"/>
    <w:rsid w:val="4A1A2C2A"/>
    <w:rsid w:val="4A225C6E"/>
    <w:rsid w:val="4A433A00"/>
    <w:rsid w:val="4A6F0787"/>
    <w:rsid w:val="4A886551"/>
    <w:rsid w:val="4A914D76"/>
    <w:rsid w:val="4AAD1308"/>
    <w:rsid w:val="4B58746D"/>
    <w:rsid w:val="4B6D0130"/>
    <w:rsid w:val="4B8600DF"/>
    <w:rsid w:val="4B926BE7"/>
    <w:rsid w:val="4BDD7BA7"/>
    <w:rsid w:val="4BE45514"/>
    <w:rsid w:val="4BEA2ACB"/>
    <w:rsid w:val="4C1E06B7"/>
    <w:rsid w:val="4CDD40CE"/>
    <w:rsid w:val="4CF07A69"/>
    <w:rsid w:val="4D14761E"/>
    <w:rsid w:val="4D333749"/>
    <w:rsid w:val="4D5266C3"/>
    <w:rsid w:val="4D714816"/>
    <w:rsid w:val="4D8D33B6"/>
    <w:rsid w:val="4D8F7EA0"/>
    <w:rsid w:val="4DA70238"/>
    <w:rsid w:val="4DAD1CF2"/>
    <w:rsid w:val="4DC64B62"/>
    <w:rsid w:val="4DE312D8"/>
    <w:rsid w:val="4DF94F37"/>
    <w:rsid w:val="4E3E6DEE"/>
    <w:rsid w:val="4E915170"/>
    <w:rsid w:val="4EA36C51"/>
    <w:rsid w:val="4EF23735"/>
    <w:rsid w:val="4F0823B4"/>
    <w:rsid w:val="4F1815D8"/>
    <w:rsid w:val="4F253B0A"/>
    <w:rsid w:val="4F8E16AF"/>
    <w:rsid w:val="4FA17635"/>
    <w:rsid w:val="503F15BF"/>
    <w:rsid w:val="509E2D2F"/>
    <w:rsid w:val="516701F0"/>
    <w:rsid w:val="51994ECA"/>
    <w:rsid w:val="52154F6C"/>
    <w:rsid w:val="52846D9A"/>
    <w:rsid w:val="52CB2081"/>
    <w:rsid w:val="52EA504C"/>
    <w:rsid w:val="52EF06B7"/>
    <w:rsid w:val="53091D0F"/>
    <w:rsid w:val="53283BC9"/>
    <w:rsid w:val="5334256E"/>
    <w:rsid w:val="536F5C64"/>
    <w:rsid w:val="5373420A"/>
    <w:rsid w:val="53B11E10"/>
    <w:rsid w:val="53B31FFA"/>
    <w:rsid w:val="53D578AD"/>
    <w:rsid w:val="543F11CA"/>
    <w:rsid w:val="545C7FCE"/>
    <w:rsid w:val="548A1422"/>
    <w:rsid w:val="54EF04CB"/>
    <w:rsid w:val="55222FC6"/>
    <w:rsid w:val="552A5D9B"/>
    <w:rsid w:val="5543596A"/>
    <w:rsid w:val="554C53C5"/>
    <w:rsid w:val="559B68D4"/>
    <w:rsid w:val="559E0172"/>
    <w:rsid w:val="559F537E"/>
    <w:rsid w:val="55CF00DC"/>
    <w:rsid w:val="55E5390A"/>
    <w:rsid w:val="560D34CE"/>
    <w:rsid w:val="56412D08"/>
    <w:rsid w:val="56665134"/>
    <w:rsid w:val="568E6439"/>
    <w:rsid w:val="56D737F9"/>
    <w:rsid w:val="56E218A8"/>
    <w:rsid w:val="57932A23"/>
    <w:rsid w:val="57CF05B8"/>
    <w:rsid w:val="57E722A5"/>
    <w:rsid w:val="5812683D"/>
    <w:rsid w:val="581770D7"/>
    <w:rsid w:val="58374347"/>
    <w:rsid w:val="58457CD0"/>
    <w:rsid w:val="585711A2"/>
    <w:rsid w:val="58C92183"/>
    <w:rsid w:val="59275F76"/>
    <w:rsid w:val="59277154"/>
    <w:rsid w:val="593A20E1"/>
    <w:rsid w:val="59771406"/>
    <w:rsid w:val="59971F26"/>
    <w:rsid w:val="59B212B6"/>
    <w:rsid w:val="59E446EB"/>
    <w:rsid w:val="5A0606CA"/>
    <w:rsid w:val="5A0614BF"/>
    <w:rsid w:val="5A0C0C27"/>
    <w:rsid w:val="5A3B14EF"/>
    <w:rsid w:val="5A5A4FB0"/>
    <w:rsid w:val="5AC74DF8"/>
    <w:rsid w:val="5AC95C92"/>
    <w:rsid w:val="5ADF17A9"/>
    <w:rsid w:val="5AED0D8F"/>
    <w:rsid w:val="5B0C41F8"/>
    <w:rsid w:val="5B123195"/>
    <w:rsid w:val="5B2630E4"/>
    <w:rsid w:val="5B6101F8"/>
    <w:rsid w:val="5B6C5E29"/>
    <w:rsid w:val="5B751975"/>
    <w:rsid w:val="5BAD7C06"/>
    <w:rsid w:val="5C280A4D"/>
    <w:rsid w:val="5C427AAA"/>
    <w:rsid w:val="5CDB5A4F"/>
    <w:rsid w:val="5D236E89"/>
    <w:rsid w:val="5D4D5F01"/>
    <w:rsid w:val="5D645228"/>
    <w:rsid w:val="5D6515BE"/>
    <w:rsid w:val="5D7B5F87"/>
    <w:rsid w:val="5D870C6B"/>
    <w:rsid w:val="5DB6074F"/>
    <w:rsid w:val="5E053ECD"/>
    <w:rsid w:val="5E466388"/>
    <w:rsid w:val="5E4C4C10"/>
    <w:rsid w:val="5E7F0E92"/>
    <w:rsid w:val="5E922FD2"/>
    <w:rsid w:val="5EA80A59"/>
    <w:rsid w:val="5ECD7C67"/>
    <w:rsid w:val="5EEE216B"/>
    <w:rsid w:val="5F120CCD"/>
    <w:rsid w:val="5F4132BE"/>
    <w:rsid w:val="5F544D41"/>
    <w:rsid w:val="5F742670"/>
    <w:rsid w:val="5FAF18FA"/>
    <w:rsid w:val="5FF94530"/>
    <w:rsid w:val="600F2268"/>
    <w:rsid w:val="601B5081"/>
    <w:rsid w:val="60C211B9"/>
    <w:rsid w:val="60E05B3D"/>
    <w:rsid w:val="6171137E"/>
    <w:rsid w:val="620F26F9"/>
    <w:rsid w:val="621D05DD"/>
    <w:rsid w:val="624B620D"/>
    <w:rsid w:val="62A40118"/>
    <w:rsid w:val="62D5473D"/>
    <w:rsid w:val="62EC69FA"/>
    <w:rsid w:val="6300246C"/>
    <w:rsid w:val="630C5CCA"/>
    <w:rsid w:val="6336156E"/>
    <w:rsid w:val="634C56B2"/>
    <w:rsid w:val="6356208C"/>
    <w:rsid w:val="635E5215"/>
    <w:rsid w:val="63604CB9"/>
    <w:rsid w:val="638559B0"/>
    <w:rsid w:val="639F57E1"/>
    <w:rsid w:val="63C3663B"/>
    <w:rsid w:val="6424610D"/>
    <w:rsid w:val="644D16E1"/>
    <w:rsid w:val="644F42C7"/>
    <w:rsid w:val="64D92503"/>
    <w:rsid w:val="654A5952"/>
    <w:rsid w:val="655A1441"/>
    <w:rsid w:val="655A7345"/>
    <w:rsid w:val="655C559A"/>
    <w:rsid w:val="65A51206"/>
    <w:rsid w:val="65B56F3E"/>
    <w:rsid w:val="65D04378"/>
    <w:rsid w:val="65D26511"/>
    <w:rsid w:val="660E452A"/>
    <w:rsid w:val="66172B3B"/>
    <w:rsid w:val="664F5C5B"/>
    <w:rsid w:val="66717623"/>
    <w:rsid w:val="66890C0F"/>
    <w:rsid w:val="66923C28"/>
    <w:rsid w:val="669E0B12"/>
    <w:rsid w:val="66A00B1A"/>
    <w:rsid w:val="66CF2882"/>
    <w:rsid w:val="67045135"/>
    <w:rsid w:val="671F493B"/>
    <w:rsid w:val="6731663A"/>
    <w:rsid w:val="673266BF"/>
    <w:rsid w:val="675608AD"/>
    <w:rsid w:val="6771251F"/>
    <w:rsid w:val="678D0D6C"/>
    <w:rsid w:val="67912D2E"/>
    <w:rsid w:val="67CE5306"/>
    <w:rsid w:val="67E66902"/>
    <w:rsid w:val="68144385"/>
    <w:rsid w:val="68656D1C"/>
    <w:rsid w:val="688D02FE"/>
    <w:rsid w:val="68B8495E"/>
    <w:rsid w:val="68CD4B9F"/>
    <w:rsid w:val="69044CCB"/>
    <w:rsid w:val="69110F2F"/>
    <w:rsid w:val="695503E5"/>
    <w:rsid w:val="695E6E70"/>
    <w:rsid w:val="696F7727"/>
    <w:rsid w:val="69761B48"/>
    <w:rsid w:val="69826F10"/>
    <w:rsid w:val="6A291D77"/>
    <w:rsid w:val="6A294057"/>
    <w:rsid w:val="6A311144"/>
    <w:rsid w:val="6A826D0C"/>
    <w:rsid w:val="6A8676FB"/>
    <w:rsid w:val="6AA95198"/>
    <w:rsid w:val="6AF0035A"/>
    <w:rsid w:val="6AFE0FD5"/>
    <w:rsid w:val="6B301415"/>
    <w:rsid w:val="6B363DC9"/>
    <w:rsid w:val="6B770B4F"/>
    <w:rsid w:val="6B843AB4"/>
    <w:rsid w:val="6BB40298"/>
    <w:rsid w:val="6BEE7306"/>
    <w:rsid w:val="6C1765A4"/>
    <w:rsid w:val="6C345DAE"/>
    <w:rsid w:val="6C3F19FF"/>
    <w:rsid w:val="6C3F4EF1"/>
    <w:rsid w:val="6C4C4F89"/>
    <w:rsid w:val="6C520153"/>
    <w:rsid w:val="6C626DE2"/>
    <w:rsid w:val="6C67530A"/>
    <w:rsid w:val="6C735A5D"/>
    <w:rsid w:val="6CB542C8"/>
    <w:rsid w:val="6CFC7AFE"/>
    <w:rsid w:val="6D2A1711"/>
    <w:rsid w:val="6D2C2012"/>
    <w:rsid w:val="6D3010AF"/>
    <w:rsid w:val="6D385E05"/>
    <w:rsid w:val="6D465AD5"/>
    <w:rsid w:val="6D47061C"/>
    <w:rsid w:val="6DAC7479"/>
    <w:rsid w:val="6DC3327E"/>
    <w:rsid w:val="6DEC498F"/>
    <w:rsid w:val="6E6733A0"/>
    <w:rsid w:val="6E753AC9"/>
    <w:rsid w:val="6EBE56B6"/>
    <w:rsid w:val="6F1B14DE"/>
    <w:rsid w:val="6F764825"/>
    <w:rsid w:val="6F7A5868"/>
    <w:rsid w:val="6F7E0BF8"/>
    <w:rsid w:val="6FB12EC5"/>
    <w:rsid w:val="6FC42292"/>
    <w:rsid w:val="6FE5761E"/>
    <w:rsid w:val="70241CE7"/>
    <w:rsid w:val="70A24B63"/>
    <w:rsid w:val="71202BF7"/>
    <w:rsid w:val="71212D63"/>
    <w:rsid w:val="71435060"/>
    <w:rsid w:val="71463740"/>
    <w:rsid w:val="71B804AF"/>
    <w:rsid w:val="71B91357"/>
    <w:rsid w:val="71B92164"/>
    <w:rsid w:val="71BD5126"/>
    <w:rsid w:val="71D04167"/>
    <w:rsid w:val="71E04DB2"/>
    <w:rsid w:val="720A29C0"/>
    <w:rsid w:val="72315F52"/>
    <w:rsid w:val="72380C91"/>
    <w:rsid w:val="72933FAE"/>
    <w:rsid w:val="72B55AFA"/>
    <w:rsid w:val="72F76F6E"/>
    <w:rsid w:val="72FC3A72"/>
    <w:rsid w:val="73036065"/>
    <w:rsid w:val="73194E17"/>
    <w:rsid w:val="731A4E85"/>
    <w:rsid w:val="732175AB"/>
    <w:rsid w:val="73247AB1"/>
    <w:rsid w:val="73610D05"/>
    <w:rsid w:val="737E32EA"/>
    <w:rsid w:val="73FE6554"/>
    <w:rsid w:val="74077C61"/>
    <w:rsid w:val="741C2FF0"/>
    <w:rsid w:val="74207BDF"/>
    <w:rsid w:val="743A788B"/>
    <w:rsid w:val="744A79EB"/>
    <w:rsid w:val="74704AA1"/>
    <w:rsid w:val="747D0312"/>
    <w:rsid w:val="74FF73E9"/>
    <w:rsid w:val="752A6035"/>
    <w:rsid w:val="756C079A"/>
    <w:rsid w:val="757D656B"/>
    <w:rsid w:val="75A3300B"/>
    <w:rsid w:val="75C37A55"/>
    <w:rsid w:val="75CD4430"/>
    <w:rsid w:val="76105F0C"/>
    <w:rsid w:val="76176FE0"/>
    <w:rsid w:val="762E3465"/>
    <w:rsid w:val="765E152C"/>
    <w:rsid w:val="76692FDA"/>
    <w:rsid w:val="766E7E14"/>
    <w:rsid w:val="76DE7C83"/>
    <w:rsid w:val="77065E4C"/>
    <w:rsid w:val="773735B1"/>
    <w:rsid w:val="774723A6"/>
    <w:rsid w:val="775943C5"/>
    <w:rsid w:val="775B68EA"/>
    <w:rsid w:val="775E077C"/>
    <w:rsid w:val="775F34D3"/>
    <w:rsid w:val="776668EA"/>
    <w:rsid w:val="77843214"/>
    <w:rsid w:val="779F71D5"/>
    <w:rsid w:val="77D25D2E"/>
    <w:rsid w:val="77EF2BD0"/>
    <w:rsid w:val="782B00BB"/>
    <w:rsid w:val="782C7998"/>
    <w:rsid w:val="783E35D1"/>
    <w:rsid w:val="78567579"/>
    <w:rsid w:val="7872538E"/>
    <w:rsid w:val="78793308"/>
    <w:rsid w:val="78804276"/>
    <w:rsid w:val="7887726C"/>
    <w:rsid w:val="789F0530"/>
    <w:rsid w:val="78AF121B"/>
    <w:rsid w:val="78B402A3"/>
    <w:rsid w:val="78B50366"/>
    <w:rsid w:val="78DC4E9B"/>
    <w:rsid w:val="791D52BE"/>
    <w:rsid w:val="79564EB8"/>
    <w:rsid w:val="795F3706"/>
    <w:rsid w:val="7975290A"/>
    <w:rsid w:val="79B53B29"/>
    <w:rsid w:val="79B67668"/>
    <w:rsid w:val="79CF4143"/>
    <w:rsid w:val="7A3400A3"/>
    <w:rsid w:val="7AA3348F"/>
    <w:rsid w:val="7AAA11E4"/>
    <w:rsid w:val="7AE81627"/>
    <w:rsid w:val="7AEA7832"/>
    <w:rsid w:val="7B086666"/>
    <w:rsid w:val="7B167964"/>
    <w:rsid w:val="7B4C229B"/>
    <w:rsid w:val="7B6A606C"/>
    <w:rsid w:val="7B805860"/>
    <w:rsid w:val="7BBB74E5"/>
    <w:rsid w:val="7BD5390A"/>
    <w:rsid w:val="7C9937EB"/>
    <w:rsid w:val="7CE91AA1"/>
    <w:rsid w:val="7CFB256C"/>
    <w:rsid w:val="7D2A53A6"/>
    <w:rsid w:val="7D3923AB"/>
    <w:rsid w:val="7D6774DC"/>
    <w:rsid w:val="7D92071E"/>
    <w:rsid w:val="7DA63EE4"/>
    <w:rsid w:val="7DCD5EDC"/>
    <w:rsid w:val="7DF10ED8"/>
    <w:rsid w:val="7DFF5F32"/>
    <w:rsid w:val="7E2122B0"/>
    <w:rsid w:val="7E6522A8"/>
    <w:rsid w:val="7E667BD9"/>
    <w:rsid w:val="7EB20667"/>
    <w:rsid w:val="7EBB7543"/>
    <w:rsid w:val="7EC564AB"/>
    <w:rsid w:val="7ECB430D"/>
    <w:rsid w:val="7EEC26FB"/>
    <w:rsid w:val="7F0B3ECA"/>
    <w:rsid w:val="7F2C666B"/>
    <w:rsid w:val="7F330CBF"/>
    <w:rsid w:val="7F8F26EA"/>
    <w:rsid w:val="7FEB046D"/>
    <w:rsid w:val="7FEC5437"/>
    <w:rsid w:val="7FED3E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caption"/>
    <w:basedOn w:val="1"/>
    <w:next w:val="1"/>
    <w:qFormat/>
    <w:uiPriority w:val="0"/>
    <w:rPr>
      <w:rFonts w:ascii="Arial" w:hAnsi="Arial" w:eastAsia="黑体" w:cs="Arial"/>
      <w:sz w:val="20"/>
    </w:rPr>
  </w:style>
  <w:style w:type="paragraph" w:styleId="7">
    <w:name w:val="annotation text"/>
    <w:basedOn w:val="1"/>
    <w:link w:val="56"/>
    <w:unhideWhenUsed/>
    <w:qFormat/>
    <w:uiPriority w:val="99"/>
    <w:pPr>
      <w:widowControl w:val="0"/>
      <w:jc w:val="left"/>
    </w:pPr>
    <w:rPr>
      <w:rFonts w:ascii="仿宋_GB2312" w:eastAsia="仿宋_GB2312" w:cs="仿宋_GB2312" w:hAnsiTheme="minorHAnsi"/>
      <w:kern w:val="0"/>
      <w:sz w:val="28"/>
      <w:szCs w:val="28"/>
    </w:rPr>
  </w:style>
  <w:style w:type="paragraph" w:styleId="8">
    <w:name w:val="Body Text"/>
    <w:basedOn w:val="1"/>
    <w:next w:val="9"/>
    <w:unhideWhenUsed/>
    <w:qFormat/>
    <w:uiPriority w:val="99"/>
    <w:pPr>
      <w:spacing w:after="120"/>
    </w:pPr>
  </w:style>
  <w:style w:type="paragraph" w:customStyle="1" w:styleId="9">
    <w:name w:val="style4"/>
    <w:basedOn w:val="1"/>
    <w:next w:val="10"/>
    <w:qFormat/>
    <w:uiPriority w:val="0"/>
    <w:pPr>
      <w:widowControl/>
      <w:spacing w:before="280" w:after="280"/>
    </w:pPr>
    <w:rPr>
      <w:rFonts w:ascii="宋体"/>
      <w:sz w:val="18"/>
    </w:rPr>
  </w:style>
  <w:style w:type="paragraph" w:customStyle="1" w:styleId="1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next w:val="12"/>
    <w:qFormat/>
    <w:uiPriority w:val="0"/>
    <w:pPr>
      <w:adjustRightInd w:val="0"/>
      <w:spacing w:after="120" w:line="360" w:lineRule="atLeast"/>
      <w:ind w:left="420" w:leftChars="200"/>
      <w:jc w:val="left"/>
      <w:textAlignment w:val="baseline"/>
    </w:pPr>
    <w:rPr>
      <w:sz w:val="24"/>
    </w:rPr>
  </w:style>
  <w:style w:type="paragraph" w:styleId="12">
    <w:name w:val="envelope return"/>
    <w:basedOn w:val="1"/>
    <w:unhideWhenUsed/>
    <w:qFormat/>
    <w:uiPriority w:val="99"/>
    <w:pPr>
      <w:snapToGrid w:val="0"/>
    </w:pPr>
    <w:rPr>
      <w:rFonts w:ascii="Arial" w:hAnsi="Arial"/>
    </w:rPr>
  </w:style>
  <w:style w:type="paragraph" w:styleId="13">
    <w:name w:val="Block Text"/>
    <w:basedOn w:val="1"/>
    <w:unhideWhenUsed/>
    <w:qFormat/>
    <w:uiPriority w:val="99"/>
    <w:pPr>
      <w:adjustRightInd w:val="0"/>
      <w:spacing w:line="300" w:lineRule="auto"/>
      <w:ind w:left="958" w:right="-120" w:rightChars="-120"/>
    </w:pPr>
    <w:rPr>
      <w:rFonts w:hint="eastAsia"/>
      <w:sz w:val="28"/>
    </w:rPr>
  </w:style>
  <w:style w:type="paragraph" w:styleId="14">
    <w:name w:val="Plain Text"/>
    <w:basedOn w:val="1"/>
    <w:qFormat/>
    <w:uiPriority w:val="0"/>
    <w:rPr>
      <w:sz w:val="24"/>
    </w:rPr>
  </w:style>
  <w:style w:type="paragraph" w:styleId="15">
    <w:name w:val="Date"/>
    <w:basedOn w:val="1"/>
    <w:next w:val="1"/>
    <w:unhideWhenUsed/>
    <w:qFormat/>
    <w:uiPriority w:val="99"/>
    <w:pPr>
      <w:ind w:left="100" w:leftChars="2500"/>
    </w:pPr>
  </w:style>
  <w:style w:type="paragraph" w:styleId="16">
    <w:name w:val="Balloon Text"/>
    <w:basedOn w:val="1"/>
    <w:link w:val="57"/>
    <w:qFormat/>
    <w:uiPriority w:val="0"/>
    <w:rPr>
      <w:rFonts w:ascii="宋体"/>
      <w:sz w:val="18"/>
      <w:szCs w:val="18"/>
    </w:rPr>
  </w:style>
  <w:style w:type="paragraph" w:styleId="17">
    <w:name w:val="footer"/>
    <w:basedOn w:val="1"/>
    <w:link w:val="40"/>
    <w:qFormat/>
    <w:uiPriority w:val="99"/>
    <w:pPr>
      <w:tabs>
        <w:tab w:val="center" w:pos="4153"/>
        <w:tab w:val="right" w:pos="8306"/>
      </w:tabs>
      <w:snapToGrid w:val="0"/>
      <w:jc w:val="left"/>
    </w:pPr>
    <w:rPr>
      <w:sz w:val="18"/>
      <w:szCs w:val="18"/>
    </w:rPr>
  </w:style>
  <w:style w:type="paragraph" w:styleId="18">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20">
    <w:name w:val="List"/>
    <w:basedOn w:val="1"/>
    <w:qFormat/>
    <w:uiPriority w:val="0"/>
    <w:pPr>
      <w:ind w:left="420" w:hanging="420"/>
    </w:pPr>
    <w:rPr>
      <w:szCs w:val="20"/>
    </w:rPr>
  </w:style>
  <w:style w:type="paragraph" w:styleId="21">
    <w:name w:val="footnote text"/>
    <w:basedOn w:val="1"/>
    <w:semiHidden/>
    <w:qFormat/>
    <w:uiPriority w:val="99"/>
    <w:pPr>
      <w:snapToGrid w:val="0"/>
      <w:jc w:val="left"/>
    </w:pPr>
    <w:rPr>
      <w:sz w:val="18"/>
      <w:szCs w:val="18"/>
    </w:rPr>
  </w:style>
  <w:style w:type="paragraph" w:styleId="22">
    <w:name w:val="Body Text 2"/>
    <w:basedOn w:val="1"/>
    <w:qFormat/>
    <w:uiPriority w:val="0"/>
    <w:pPr>
      <w:spacing w:before="100" w:beforeAutospacing="1" w:after="100" w:afterAutospacing="1"/>
      <w:jc w:val="left"/>
    </w:pPr>
    <w:rPr>
      <w:rFonts w:ascii="宋体" w:hAnsi="宋体"/>
      <w:kern w:val="0"/>
      <w:sz w:val="24"/>
    </w:rPr>
  </w:style>
  <w:style w:type="paragraph" w:styleId="23">
    <w:name w:val="Message Header"/>
    <w:basedOn w:val="1"/>
    <w:next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黑体"/>
      <w:sz w:val="24"/>
      <w:szCs w:val="22"/>
    </w:rPr>
  </w:style>
  <w:style w:type="paragraph" w:styleId="24">
    <w:name w:val="Normal (Web)"/>
    <w:basedOn w:val="1"/>
    <w:qFormat/>
    <w:uiPriority w:val="99"/>
    <w:rPr>
      <w:rFonts w:ascii="Calibri" w:hAnsi="Calibri"/>
      <w:sz w:val="24"/>
      <w:szCs w:val="24"/>
    </w:rPr>
  </w:style>
  <w:style w:type="paragraph" w:styleId="25">
    <w:name w:val="Title"/>
    <w:basedOn w:val="1"/>
    <w:next w:val="1"/>
    <w:link w:val="63"/>
    <w:qFormat/>
    <w:uiPriority w:val="0"/>
    <w:pPr>
      <w:widowControl w:val="0"/>
      <w:spacing w:before="240" w:after="60"/>
      <w:jc w:val="center"/>
      <w:outlineLvl w:val="0"/>
    </w:pPr>
    <w:rPr>
      <w:rFonts w:ascii="Cambria" w:hAnsi="Cambria"/>
      <w:b/>
      <w:bCs/>
      <w:sz w:val="32"/>
      <w:szCs w:val="32"/>
    </w:rPr>
  </w:style>
  <w:style w:type="paragraph" w:styleId="26">
    <w:name w:val="Body Text First Indent"/>
    <w:basedOn w:val="8"/>
    <w:next w:val="27"/>
    <w:qFormat/>
    <w:uiPriority w:val="0"/>
    <w:pPr>
      <w:ind w:firstLine="420" w:firstLineChars="100"/>
    </w:pPr>
    <w:rPr>
      <w:rFonts w:ascii="宋体"/>
      <w:kern w:val="0"/>
      <w:sz w:val="34"/>
    </w:rPr>
  </w:style>
  <w:style w:type="paragraph" w:styleId="27">
    <w:name w:val="Body Text First Indent 2"/>
    <w:basedOn w:val="11"/>
    <w:next w:val="20"/>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basedOn w:val="30"/>
    <w:qFormat/>
    <w:uiPriority w:val="0"/>
    <w:rPr>
      <w:color w:val="000000"/>
      <w:u w:val="none"/>
    </w:rPr>
  </w:style>
  <w:style w:type="character" w:styleId="33">
    <w:name w:val="Emphasis"/>
    <w:basedOn w:val="30"/>
    <w:qFormat/>
    <w:uiPriority w:val="0"/>
  </w:style>
  <w:style w:type="character" w:styleId="34">
    <w:name w:val="Hyperlink"/>
    <w:basedOn w:val="30"/>
    <w:qFormat/>
    <w:uiPriority w:val="0"/>
    <w:rPr>
      <w:color w:val="000000"/>
      <w:u w:val="none"/>
    </w:rPr>
  </w:style>
  <w:style w:type="character" w:styleId="35">
    <w:name w:val="annotation reference"/>
    <w:basedOn w:val="30"/>
    <w:unhideWhenUsed/>
    <w:qFormat/>
    <w:uiPriority w:val="99"/>
    <w:rPr>
      <w:sz w:val="21"/>
      <w:szCs w:val="21"/>
    </w:rPr>
  </w:style>
  <w:style w:type="character" w:customStyle="1" w:styleId="36">
    <w:name w:val="标题 1 Char"/>
    <w:basedOn w:val="30"/>
    <w:link w:val="2"/>
    <w:qFormat/>
    <w:uiPriority w:val="9"/>
    <w:rPr>
      <w:rFonts w:ascii="宋体" w:hAnsi="宋体" w:cs="宋体"/>
      <w:b/>
      <w:bCs/>
      <w:kern w:val="36"/>
      <w:sz w:val="48"/>
      <w:szCs w:val="48"/>
    </w:rPr>
  </w:style>
  <w:style w:type="paragraph" w:customStyle="1" w:styleId="37">
    <w:name w:val="表格文字"/>
    <w:basedOn w:val="1"/>
    <w:next w:val="8"/>
    <w:qFormat/>
    <w:uiPriority w:val="0"/>
    <w:pPr>
      <w:adjustRightInd w:val="0"/>
      <w:spacing w:line="420" w:lineRule="atLeast"/>
      <w:ind w:firstLine="0" w:firstLineChars="0"/>
      <w:jc w:val="left"/>
      <w:textAlignment w:val="baseline"/>
    </w:pPr>
    <w:rPr>
      <w:rFonts w:ascii="Times New Roman" w:hAnsi="Times New Roman"/>
      <w:kern w:val="0"/>
      <w:sz w:val="21"/>
      <w:szCs w:val="20"/>
    </w:rPr>
  </w:style>
  <w:style w:type="paragraph" w:customStyle="1" w:styleId="3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9">
    <w:name w:val="页眉 Char"/>
    <w:basedOn w:val="30"/>
    <w:link w:val="18"/>
    <w:qFormat/>
    <w:uiPriority w:val="0"/>
    <w:rPr>
      <w:kern w:val="2"/>
      <w:sz w:val="18"/>
      <w:szCs w:val="18"/>
    </w:rPr>
  </w:style>
  <w:style w:type="character" w:customStyle="1" w:styleId="40">
    <w:name w:val="页脚 Char"/>
    <w:basedOn w:val="30"/>
    <w:link w:val="17"/>
    <w:qFormat/>
    <w:uiPriority w:val="0"/>
    <w:rPr>
      <w:kern w:val="2"/>
      <w:sz w:val="18"/>
      <w:szCs w:val="18"/>
    </w:rPr>
  </w:style>
  <w:style w:type="character" w:customStyle="1" w:styleId="41">
    <w:name w:val="red"/>
    <w:basedOn w:val="30"/>
    <w:qFormat/>
    <w:uiPriority w:val="0"/>
    <w:rPr>
      <w:color w:val="CC0000"/>
    </w:rPr>
  </w:style>
  <w:style w:type="character" w:customStyle="1" w:styleId="42">
    <w:name w:val="red1"/>
    <w:basedOn w:val="30"/>
    <w:qFormat/>
    <w:uiPriority w:val="0"/>
    <w:rPr>
      <w:color w:val="FF0000"/>
      <w:sz w:val="18"/>
      <w:szCs w:val="18"/>
    </w:rPr>
  </w:style>
  <w:style w:type="character" w:customStyle="1" w:styleId="43">
    <w:name w:val="red2"/>
    <w:basedOn w:val="30"/>
    <w:qFormat/>
    <w:uiPriority w:val="0"/>
    <w:rPr>
      <w:color w:val="FF0000"/>
      <w:sz w:val="18"/>
      <w:szCs w:val="18"/>
    </w:rPr>
  </w:style>
  <w:style w:type="character" w:customStyle="1" w:styleId="44">
    <w:name w:val="red3"/>
    <w:basedOn w:val="30"/>
    <w:qFormat/>
    <w:uiPriority w:val="0"/>
    <w:rPr>
      <w:color w:val="FF0000"/>
    </w:rPr>
  </w:style>
  <w:style w:type="character" w:customStyle="1" w:styleId="45">
    <w:name w:val="green"/>
    <w:basedOn w:val="30"/>
    <w:qFormat/>
    <w:uiPriority w:val="0"/>
    <w:rPr>
      <w:color w:val="66AE00"/>
      <w:sz w:val="18"/>
      <w:szCs w:val="18"/>
    </w:rPr>
  </w:style>
  <w:style w:type="character" w:customStyle="1" w:styleId="46">
    <w:name w:val="green1"/>
    <w:basedOn w:val="30"/>
    <w:qFormat/>
    <w:uiPriority w:val="0"/>
    <w:rPr>
      <w:color w:val="66AE00"/>
      <w:sz w:val="18"/>
      <w:szCs w:val="18"/>
    </w:rPr>
  </w:style>
  <w:style w:type="character" w:customStyle="1" w:styleId="47">
    <w:name w:val="hover25"/>
    <w:basedOn w:val="30"/>
    <w:qFormat/>
    <w:uiPriority w:val="0"/>
  </w:style>
  <w:style w:type="character" w:customStyle="1" w:styleId="48">
    <w:name w:val="blue"/>
    <w:basedOn w:val="30"/>
    <w:qFormat/>
    <w:uiPriority w:val="0"/>
    <w:rPr>
      <w:color w:val="0371C6"/>
      <w:sz w:val="21"/>
      <w:szCs w:val="21"/>
    </w:rPr>
  </w:style>
  <w:style w:type="character" w:customStyle="1" w:styleId="49">
    <w:name w:val="gb-jt"/>
    <w:basedOn w:val="30"/>
    <w:qFormat/>
    <w:uiPriority w:val="0"/>
  </w:style>
  <w:style w:type="character" w:customStyle="1" w:styleId="50">
    <w:name w:val="right"/>
    <w:basedOn w:val="30"/>
    <w:qFormat/>
    <w:uiPriority w:val="0"/>
    <w:rPr>
      <w:color w:val="999999"/>
      <w:sz w:val="18"/>
      <w:szCs w:val="18"/>
    </w:rPr>
  </w:style>
  <w:style w:type="paragraph" w:customStyle="1" w:styleId="51">
    <w:name w:val="列出段落1"/>
    <w:basedOn w:val="1"/>
    <w:unhideWhenUsed/>
    <w:qFormat/>
    <w:uiPriority w:val="99"/>
    <w:pPr>
      <w:ind w:firstLine="420" w:firstLineChars="200"/>
    </w:pPr>
  </w:style>
  <w:style w:type="paragraph" w:customStyle="1" w:styleId="52">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cs="宋体"/>
      <w:b/>
      <w:bCs/>
      <w:color w:val="000000"/>
      <w:kern w:val="0"/>
    </w:rPr>
  </w:style>
  <w:style w:type="paragraph" w:customStyle="1" w:styleId="53">
    <w:name w:val="正文文本缩进1"/>
    <w:basedOn w:val="1"/>
    <w:qFormat/>
    <w:uiPriority w:val="0"/>
    <w:pPr>
      <w:spacing w:line="360" w:lineRule="auto"/>
      <w:ind w:firstLine="480" w:firstLineChars="200"/>
    </w:pPr>
    <w:rPr>
      <w:rFonts w:ascii="宋体"/>
      <w:sz w:val="24"/>
    </w:rPr>
  </w:style>
  <w:style w:type="paragraph" w:customStyle="1" w:styleId="54">
    <w:name w:val="正文缩进1"/>
    <w:basedOn w:val="1"/>
    <w:qFormat/>
    <w:uiPriority w:val="0"/>
    <w:pPr>
      <w:adjustRightInd w:val="0"/>
      <w:spacing w:line="360" w:lineRule="atLeast"/>
      <w:ind w:firstLine="420" w:firstLineChars="200"/>
      <w:jc w:val="left"/>
      <w:textAlignment w:val="baseline"/>
    </w:pPr>
    <w:rPr>
      <w:kern w:val="0"/>
      <w:sz w:val="24"/>
    </w:rPr>
  </w:style>
  <w:style w:type="paragraph" w:customStyle="1" w:styleId="55">
    <w:name w:val="日期1"/>
    <w:basedOn w:val="1"/>
    <w:next w:val="1"/>
    <w:qFormat/>
    <w:uiPriority w:val="0"/>
    <w:rPr>
      <w:sz w:val="24"/>
    </w:rPr>
  </w:style>
  <w:style w:type="character" w:customStyle="1" w:styleId="56">
    <w:name w:val="批注文字 Char"/>
    <w:basedOn w:val="30"/>
    <w:link w:val="7"/>
    <w:qFormat/>
    <w:uiPriority w:val="99"/>
    <w:rPr>
      <w:rFonts w:ascii="仿宋_GB2312" w:eastAsia="仿宋_GB2312" w:cs="仿宋_GB2312" w:hAnsiTheme="minorHAnsi"/>
      <w:sz w:val="28"/>
      <w:szCs w:val="28"/>
    </w:rPr>
  </w:style>
  <w:style w:type="character" w:customStyle="1" w:styleId="57">
    <w:name w:val="批注框文本 Char"/>
    <w:basedOn w:val="30"/>
    <w:link w:val="16"/>
    <w:qFormat/>
    <w:uiPriority w:val="0"/>
    <w:rPr>
      <w:rFonts w:ascii="宋体" w:hAnsi="Times New Roman"/>
      <w:kern w:val="2"/>
      <w:sz w:val="18"/>
      <w:szCs w:val="18"/>
    </w:rPr>
  </w:style>
  <w:style w:type="character" w:customStyle="1" w:styleId="58">
    <w:name w:val="Unresolved Mention"/>
    <w:basedOn w:val="30"/>
    <w:unhideWhenUsed/>
    <w:qFormat/>
    <w:uiPriority w:val="99"/>
    <w:rPr>
      <w:color w:val="605E5C"/>
      <w:shd w:val="clear" w:color="auto" w:fill="E1DFDD"/>
    </w:rPr>
  </w:style>
  <w:style w:type="character" w:customStyle="1" w:styleId="59">
    <w:name w:val="页脚 字符1"/>
    <w:qFormat/>
    <w:uiPriority w:val="99"/>
    <w:rPr>
      <w:kern w:val="2"/>
      <w:sz w:val="18"/>
    </w:rPr>
  </w:style>
  <w:style w:type="character" w:customStyle="1" w:styleId="60">
    <w:name w:val="页眉 字符"/>
    <w:qFormat/>
    <w:uiPriority w:val="99"/>
    <w:rPr>
      <w:kern w:val="2"/>
      <w:sz w:val="18"/>
    </w:rPr>
  </w:style>
  <w:style w:type="character" w:customStyle="1" w:styleId="61">
    <w:name w:val="标题 Char1"/>
    <w:link w:val="25"/>
    <w:qFormat/>
    <w:uiPriority w:val="0"/>
    <w:rPr>
      <w:rFonts w:ascii="Cambria" w:hAnsi="Cambria"/>
      <w:b/>
      <w:bCs/>
      <w:kern w:val="2"/>
      <w:sz w:val="32"/>
      <w:szCs w:val="32"/>
    </w:rPr>
  </w:style>
  <w:style w:type="paragraph" w:customStyle="1" w:styleId="62">
    <w:name w:val="_Style 47"/>
    <w:basedOn w:val="1"/>
    <w:next w:val="1"/>
    <w:qFormat/>
    <w:uiPriority w:val="39"/>
    <w:pPr>
      <w:widowControl w:val="0"/>
      <w:tabs>
        <w:tab w:val="left" w:pos="840"/>
        <w:tab w:val="right" w:leader="dot" w:pos="8296"/>
      </w:tabs>
    </w:pPr>
  </w:style>
  <w:style w:type="character" w:customStyle="1" w:styleId="63">
    <w:name w:val="标题 Char"/>
    <w:basedOn w:val="30"/>
    <w:link w:val="25"/>
    <w:qFormat/>
    <w:uiPriority w:val="0"/>
    <w:rPr>
      <w:rFonts w:asciiTheme="majorHAnsi" w:hAnsiTheme="majorHAnsi" w:cstheme="majorBidi"/>
      <w:b/>
      <w:bCs/>
      <w:kern w:val="2"/>
      <w:sz w:val="32"/>
      <w:szCs w:val="32"/>
    </w:rPr>
  </w:style>
  <w:style w:type="paragraph" w:customStyle="1" w:styleId="64">
    <w:name w:val="È±Ê¡ÎÄ±¾"/>
    <w:basedOn w:val="1"/>
    <w:qFormat/>
    <w:uiPriority w:val="0"/>
    <w:pPr>
      <w:overflowPunct w:val="0"/>
      <w:autoSpaceDE w:val="0"/>
      <w:autoSpaceDN w:val="0"/>
      <w:adjustRightInd w:val="0"/>
      <w:jc w:val="left"/>
      <w:textAlignment w:val="baseline"/>
    </w:pPr>
    <w:rPr>
      <w:rFonts w:hAnsi="Calibri"/>
      <w:kern w:val="0"/>
      <w:szCs w:val="22"/>
    </w:rPr>
  </w:style>
  <w:style w:type="paragraph" w:customStyle="1" w:styleId="65">
    <w:name w:val="网格表 31"/>
    <w:basedOn w:val="2"/>
    <w:next w:val="1"/>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66">
    <w:name w:val="列出段落11"/>
    <w:basedOn w:val="1"/>
    <w:qFormat/>
    <w:uiPriority w:val="72"/>
    <w:pPr>
      <w:widowControl w:val="0"/>
      <w:ind w:left="720"/>
      <w:contextualSpacing/>
    </w:pPr>
    <w:rPr>
      <w:szCs w:val="24"/>
    </w:rPr>
  </w:style>
  <w:style w:type="paragraph" w:customStyle="1" w:styleId="67">
    <w:name w:val="UserStyle_33"/>
    <w:basedOn w:val="1"/>
    <w:qFormat/>
    <w:uiPriority w:val="0"/>
    <w:pPr>
      <w:textAlignment w:val="baseline"/>
    </w:pPr>
    <w:rPr>
      <w:sz w:val="24"/>
      <w:szCs w:val="24"/>
    </w:rPr>
  </w:style>
  <w:style w:type="paragraph" w:customStyle="1" w:styleId="68">
    <w:name w:val="！正文"/>
    <w:basedOn w:val="1"/>
    <w:qFormat/>
    <w:uiPriority w:val="0"/>
    <w:pPr>
      <w:spacing w:line="360" w:lineRule="auto"/>
    </w:pPr>
    <w:rPr>
      <w:kern w:val="0"/>
    </w:rPr>
  </w:style>
  <w:style w:type="paragraph" w:customStyle="1" w:styleId="69">
    <w:name w:val="正文内容"/>
    <w:basedOn w:val="1"/>
    <w:qFormat/>
    <w:uiPriority w:val="5"/>
    <w:pPr>
      <w:adjustRightInd w:val="0"/>
      <w:spacing w:line="360" w:lineRule="auto"/>
      <w:ind w:firstLine="200" w:firstLineChars="200"/>
    </w:pPr>
    <w:rPr>
      <w:rFonts w:eastAsiaTheme="minorEastAsia" w:cstheme="minorBidi"/>
      <w:sz w:val="24"/>
    </w:rPr>
  </w:style>
  <w:style w:type="paragraph" w:customStyle="1" w:styleId="70">
    <w:name w:val="List Paragraph"/>
    <w:basedOn w:val="1"/>
    <w:qFormat/>
    <w:uiPriority w:val="99"/>
    <w:pPr>
      <w:ind w:firstLine="420" w:firstLineChars="200"/>
    </w:pPr>
  </w:style>
  <w:style w:type="paragraph" w:customStyle="1" w:styleId="71">
    <w:name w:val="样式 首行缩进:  0.74 厘米"/>
    <w:basedOn w:val="1"/>
    <w:qFormat/>
    <w:uiPriority w:val="0"/>
    <w:pPr>
      <w:ind w:firstLine="420"/>
    </w:pPr>
    <w:rPr>
      <w:rFonts w:ascii="Arial" w:hAnsi="Arial" w:eastAsia="仿宋_GB2312" w:cs="Arial"/>
      <w:bCs/>
      <w:sz w:val="28"/>
      <w:szCs w:val="28"/>
    </w:rPr>
  </w:style>
  <w:style w:type="character" w:customStyle="1" w:styleId="72">
    <w:name w:val="NormalCharacter"/>
    <w:basedOn w:val="30"/>
    <w:qFormat/>
    <w:uiPriority w:val="0"/>
  </w:style>
  <w:style w:type="paragraph" w:customStyle="1" w:styleId="73">
    <w:name w:val="Table Paragraph"/>
    <w:basedOn w:val="1"/>
    <w:unhideWhenUsed/>
    <w:qFormat/>
    <w:uiPriority w:val="1"/>
    <w:rPr>
      <w:rFonts w:hint="eastAsia" w:hAnsi="宋体"/>
      <w:lang w:val="zh-CN"/>
    </w:rPr>
  </w:style>
  <w:style w:type="paragraph" w:customStyle="1" w:styleId="74">
    <w:name w:val="cjk"/>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20250;&#35745;&#25991;&#20214;\&#30923;&#21830;&#25991;&#20214;-&#20462;.wpt"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磋商文件-修</Template>
  <Company>Organization</Company>
  <Pages>23</Pages>
  <Words>5602</Words>
  <Characters>6177</Characters>
  <Lines>30</Lines>
  <Paragraphs>63</Paragraphs>
  <TotalTime>1</TotalTime>
  <ScaleCrop>false</ScaleCrop>
  <LinksUpToDate>false</LinksUpToDate>
  <CharactersWithSpaces>6416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2021-06-19T03:58:00Z</dcterms:created>
  <dc:creator>得未尝有</dc:creator>
  <cp:lastModifiedBy>Administrator</cp:lastModifiedBy>
  <cp:lastPrinted>2023-10-13T03:45:00Z</cp:lastPrinted>
  <dcterms:modified xsi:type="dcterms:W3CDTF">2023-10-13T09:09:14Z</dcterms:modified>
  <dc:title>许昌市建设投资有限责任公司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0D774774B0034A8FACD06F7261D4B2E5_13</vt:lpwstr>
  </property>
</Properties>
</file>