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right"/>
        <w:outlineLvl w:val="1"/>
        <w:rPr>
          <w:rFonts w:hint="eastAsia" w:ascii="仿宋" w:hAnsi="仿宋" w:eastAsia="仿宋" w:cs="仿宋"/>
          <w:b/>
          <w:bCs/>
          <w:caps/>
          <w:color w:val="auto"/>
          <w:sz w:val="28"/>
          <w:szCs w:val="28"/>
          <w:highlight w:val="none"/>
          <w:lang w:val="en-US" w:eastAsia="zh-CN"/>
        </w:rPr>
      </w:pPr>
      <w:r>
        <w:rPr>
          <w:rFonts w:hint="eastAsia" w:ascii="仿宋" w:hAnsi="仿宋" w:eastAsia="仿宋" w:cs="仿宋"/>
          <w:b/>
          <w:bCs/>
          <w:caps/>
          <w:color w:val="auto"/>
          <w:sz w:val="28"/>
          <w:szCs w:val="28"/>
          <w:highlight w:val="none"/>
        </w:rPr>
        <w:t>项目编号：</w:t>
      </w:r>
      <w:r>
        <w:rPr>
          <w:rFonts w:hint="eastAsia" w:ascii="仿宋" w:hAnsi="仿宋" w:eastAsia="仿宋" w:cs="仿宋"/>
          <w:b/>
          <w:bCs/>
          <w:caps/>
          <w:color w:val="auto"/>
          <w:sz w:val="28"/>
          <w:szCs w:val="28"/>
          <w:highlight w:val="none"/>
          <w:lang w:val="en-US" w:eastAsia="zh-CN"/>
        </w:rPr>
        <w:t>RZB-2023004</w:t>
      </w:r>
      <w:r>
        <w:rPr>
          <w:rFonts w:hint="eastAsia" w:ascii="仿宋" w:hAnsi="仿宋" w:eastAsia="仿宋" w:cs="仿宋"/>
          <w:b/>
          <w:bCs/>
          <w:caps/>
          <w:color w:val="auto"/>
          <w:sz w:val="28"/>
          <w:szCs w:val="28"/>
          <w:highlight w:val="none"/>
        </w:rPr>
        <w:t xml:space="preserve">号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highlight w:val="none"/>
          <w:lang w:eastAsia="zh-CN"/>
        </w:rPr>
      </w:pPr>
    </w:p>
    <w:p>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highlight w:val="none"/>
          <w:lang w:eastAsia="zh-CN"/>
        </w:rPr>
      </w:pPr>
      <w:r>
        <w:rPr>
          <w:rFonts w:hint="eastAsia" w:ascii="方正小标宋简体" w:hAnsi="方正小标宋简体" w:eastAsia="方正小标宋简体" w:cs="方正小标宋简体"/>
          <w:b w:val="0"/>
          <w:bCs w:val="0"/>
          <w:sz w:val="52"/>
          <w:szCs w:val="52"/>
          <w:highlight w:val="none"/>
          <w:lang w:eastAsia="zh-CN"/>
        </w:rPr>
        <w:t>许昌市城投发展集团有限公司</w:t>
      </w:r>
    </w:p>
    <w:p>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highlight w:val="none"/>
          <w:lang w:eastAsia="zh-CN"/>
        </w:rPr>
      </w:pPr>
      <w:r>
        <w:rPr>
          <w:rFonts w:hint="eastAsia" w:ascii="方正小标宋简体" w:hAnsi="方正小标宋简体" w:eastAsia="方正小标宋简体" w:cs="方正小标宋简体"/>
          <w:b w:val="0"/>
          <w:bCs w:val="0"/>
          <w:sz w:val="52"/>
          <w:szCs w:val="52"/>
          <w:highlight w:val="none"/>
          <w:lang w:val="en-US" w:eastAsia="zh-CN"/>
        </w:rPr>
        <w:t>2023年</w:t>
      </w:r>
      <w:r>
        <w:rPr>
          <w:rFonts w:hint="eastAsia" w:ascii="方正小标宋简体" w:hAnsi="方正小标宋简体" w:eastAsia="方正小标宋简体" w:cs="方正小标宋简体"/>
          <w:b w:val="0"/>
          <w:bCs w:val="0"/>
          <w:sz w:val="52"/>
          <w:szCs w:val="52"/>
          <w:highlight w:val="none"/>
          <w:lang w:eastAsia="zh-CN"/>
        </w:rPr>
        <w:t>非公开发行公司债券主承销</w:t>
      </w:r>
    </w:p>
    <w:p>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highlight w:val="none"/>
          <w:lang w:eastAsia="zh-CN"/>
        </w:rPr>
      </w:pPr>
      <w:r>
        <w:rPr>
          <w:rFonts w:hint="eastAsia" w:ascii="方正小标宋简体" w:hAnsi="方正小标宋简体" w:eastAsia="方正小标宋简体" w:cs="方正小标宋简体"/>
          <w:b w:val="0"/>
          <w:bCs w:val="0"/>
          <w:sz w:val="52"/>
          <w:szCs w:val="52"/>
          <w:highlight w:val="none"/>
          <w:lang w:eastAsia="zh-CN"/>
        </w:rPr>
        <w:t>商招标项目招标代理机构服务</w:t>
      </w:r>
    </w:p>
    <w:p>
      <w:pPr>
        <w:jc w:val="both"/>
        <w:rPr>
          <w:rFonts w:hint="eastAsia" w:ascii="仿宋" w:hAnsi="仿宋" w:eastAsia="仿宋" w:cs="仿宋"/>
          <w:b/>
          <w:color w:val="auto"/>
          <w:spacing w:val="60"/>
          <w:sz w:val="28"/>
          <w:szCs w:val="28"/>
          <w:highlight w:val="none"/>
          <w:shd w:val="clear" w:color="060000" w:fill="auto"/>
        </w:rPr>
      </w:pPr>
    </w:p>
    <w:p>
      <w:pPr>
        <w:jc w:val="both"/>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询 比 采 购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jc w:val="both"/>
        <w:rPr>
          <w:rFonts w:hint="eastAsia" w:ascii="仿宋" w:hAnsi="仿宋" w:eastAsia="仿宋" w:cs="仿宋"/>
          <w:color w:val="auto"/>
          <w:sz w:val="28"/>
          <w:szCs w:val="28"/>
          <w:highlight w:val="none"/>
          <w:shd w:val="clear" w:color="050000" w:fill="auto"/>
        </w:rPr>
      </w:pPr>
    </w:p>
    <w:p>
      <w:pPr>
        <w:jc w:val="both"/>
        <w:rPr>
          <w:rFonts w:hint="eastAsia" w:ascii="仿宋" w:hAnsi="仿宋" w:eastAsia="仿宋" w:cs="仿宋"/>
          <w:color w:val="auto"/>
          <w:sz w:val="28"/>
          <w:szCs w:val="28"/>
          <w:highlight w:val="none"/>
          <w:shd w:val="clear" w:color="050000" w:fill="auto"/>
        </w:rPr>
      </w:pPr>
    </w:p>
    <w:p>
      <w:pPr>
        <w:pStyle w:val="2"/>
        <w:numPr>
          <w:ilvl w:val="1"/>
          <w:numId w:val="0"/>
        </w:numPr>
        <w:rPr>
          <w:rFonts w:hint="eastAsia"/>
          <w:highlight w:val="none"/>
        </w:rPr>
      </w:pPr>
    </w:p>
    <w:p>
      <w:pPr>
        <w:jc w:val="center"/>
        <w:rPr>
          <w:rFonts w:hint="eastAsia" w:ascii="仿宋" w:hAnsi="仿宋" w:eastAsia="仿宋" w:cs="仿宋"/>
          <w:color w:val="auto"/>
          <w:sz w:val="28"/>
          <w:szCs w:val="28"/>
          <w:highlight w:val="none"/>
          <w:shd w:val="clear" w:color="050000" w:fill="auto"/>
        </w:rPr>
      </w:pPr>
    </w:p>
    <w:p>
      <w:pPr>
        <w:spacing w:line="360" w:lineRule="auto"/>
        <w:jc w:val="center"/>
        <w:rPr>
          <w:rFonts w:hint="eastAsia"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lang w:val="en-US" w:eastAsia="zh-CN"/>
        </w:rPr>
        <w:t>询比采购单位</w:t>
      </w:r>
      <w:r>
        <w:rPr>
          <w:rFonts w:hint="eastAsia" w:ascii="仿宋" w:hAnsi="仿宋" w:eastAsia="仿宋" w:cs="仿宋"/>
          <w:b/>
          <w:bCs/>
          <w:caps/>
          <w:color w:val="auto"/>
          <w:sz w:val="36"/>
          <w:szCs w:val="36"/>
          <w:highlight w:val="none"/>
        </w:rPr>
        <w:t>：许昌市城投发展集团有限公司</w:t>
      </w:r>
    </w:p>
    <w:p>
      <w:pPr>
        <w:spacing w:line="360" w:lineRule="auto"/>
        <w:jc w:val="center"/>
        <w:rPr>
          <w:rFonts w:hint="eastAsia" w:ascii="仿宋" w:hAnsi="仿宋" w:eastAsia="仿宋" w:cs="仿宋"/>
          <w:b/>
          <w:color w:val="auto"/>
          <w:sz w:val="36"/>
          <w:szCs w:val="36"/>
          <w:highlight w:val="none"/>
          <w:shd w:val="clear" w:color="060000" w:fill="auto"/>
        </w:rPr>
      </w:pPr>
    </w:p>
    <w:p>
      <w:pPr>
        <w:spacing w:line="360" w:lineRule="auto"/>
        <w:jc w:val="center"/>
        <w:rPr>
          <w:rFonts w:hint="eastAsia" w:ascii="仿宋" w:hAnsi="仿宋" w:eastAsia="仿宋" w:cs="仿宋"/>
          <w:color w:val="auto"/>
          <w:sz w:val="36"/>
          <w:szCs w:val="36"/>
          <w:highlight w:val="none"/>
          <w:shd w:val="clear" w:color="050000" w:fill="auto"/>
        </w:rPr>
      </w:pPr>
      <w:r>
        <w:rPr>
          <w:rFonts w:hint="eastAsia" w:ascii="仿宋" w:hAnsi="仿宋" w:eastAsia="仿宋" w:cs="仿宋"/>
          <w:b/>
          <w:color w:val="auto"/>
          <w:sz w:val="36"/>
          <w:szCs w:val="36"/>
          <w:highlight w:val="none"/>
          <w:shd w:val="clear" w:color="060000" w:fill="auto"/>
        </w:rPr>
        <w:t>二〇二</w:t>
      </w:r>
      <w:r>
        <w:rPr>
          <w:rFonts w:hint="eastAsia" w:ascii="仿宋" w:hAnsi="仿宋" w:eastAsia="仿宋" w:cs="仿宋"/>
          <w:b/>
          <w:color w:val="auto"/>
          <w:sz w:val="36"/>
          <w:szCs w:val="36"/>
          <w:highlight w:val="none"/>
          <w:shd w:val="clear" w:color="060000" w:fill="auto"/>
          <w:lang w:val="en-US" w:eastAsia="zh-CN"/>
        </w:rPr>
        <w:t>三</w:t>
      </w:r>
      <w:r>
        <w:rPr>
          <w:rFonts w:hint="eastAsia" w:ascii="仿宋" w:hAnsi="仿宋" w:eastAsia="仿宋" w:cs="仿宋"/>
          <w:b/>
          <w:color w:val="auto"/>
          <w:sz w:val="36"/>
          <w:szCs w:val="36"/>
          <w:highlight w:val="none"/>
          <w:shd w:val="clear" w:color="060000" w:fill="auto"/>
        </w:rPr>
        <w:t>年</w:t>
      </w:r>
      <w:r>
        <w:rPr>
          <w:rFonts w:hint="eastAsia" w:ascii="仿宋" w:hAnsi="仿宋" w:eastAsia="仿宋" w:cs="仿宋"/>
          <w:b/>
          <w:color w:val="auto"/>
          <w:sz w:val="36"/>
          <w:szCs w:val="36"/>
          <w:highlight w:val="none"/>
          <w:shd w:val="clear" w:color="060000" w:fill="auto"/>
          <w:lang w:eastAsia="zh-CN"/>
        </w:rPr>
        <w:t>八</w:t>
      </w:r>
      <w:r>
        <w:rPr>
          <w:rFonts w:hint="eastAsia" w:ascii="仿宋" w:hAnsi="仿宋" w:eastAsia="仿宋" w:cs="仿宋"/>
          <w:b/>
          <w:color w:val="auto"/>
          <w:sz w:val="36"/>
          <w:szCs w:val="36"/>
          <w:highlight w:val="none"/>
          <w:shd w:val="clear" w:color="060000" w:fill="auto"/>
        </w:rPr>
        <w:t>月</w:t>
      </w:r>
    </w:p>
    <w:p>
      <w:pPr>
        <w:pStyle w:val="26"/>
        <w:ind w:firstLine="0" w:firstLineChars="0"/>
        <w:rPr>
          <w:rFonts w:hint="eastAsia" w:ascii="仿宋" w:hAnsi="仿宋" w:eastAsia="仿宋" w:cs="仿宋"/>
          <w:color w:val="auto"/>
          <w:sz w:val="24"/>
          <w:szCs w:val="24"/>
          <w:highlight w:val="none"/>
        </w:rPr>
      </w:pPr>
    </w:p>
    <w:p>
      <w:pPr>
        <w:spacing w:line="700" w:lineRule="auto"/>
        <w:ind w:firstLine="551"/>
        <w:jc w:val="center"/>
        <w:rPr>
          <w:rFonts w:hint="eastAsia" w:ascii="仿宋" w:hAnsi="仿宋" w:eastAsia="仿宋" w:cs="仿宋"/>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eastAsia" w:ascii="仿宋" w:hAnsi="仿宋" w:eastAsia="仿宋" w:cs="仿宋"/>
          <w:color w:val="auto"/>
          <w:sz w:val="40"/>
          <w:szCs w:val="40"/>
          <w:highlight w:val="none"/>
          <w:shd w:val="clear" w:color="060000" w:fill="auto"/>
        </w:rPr>
      </w:pPr>
      <w:r>
        <w:rPr>
          <w:rFonts w:hint="eastAsia" w:ascii="仿宋" w:hAnsi="仿宋" w:eastAsia="仿宋" w:cs="仿宋"/>
          <w:b/>
          <w:color w:val="auto"/>
          <w:sz w:val="40"/>
          <w:szCs w:val="40"/>
          <w:highlight w:val="none"/>
          <w:shd w:val="clear" w:color="060000" w:fill="auto"/>
          <w:lang w:eastAsia="zh-CN"/>
        </w:rPr>
        <w:t>询比采购文件</w:t>
      </w:r>
      <w:r>
        <w:rPr>
          <w:rFonts w:hint="eastAsia" w:ascii="仿宋" w:hAnsi="仿宋" w:eastAsia="仿宋" w:cs="仿宋"/>
          <w:b/>
          <w:color w:val="auto"/>
          <w:sz w:val="40"/>
          <w:szCs w:val="40"/>
          <w:highlight w:val="none"/>
          <w:shd w:val="clear" w:color="060000" w:fill="auto"/>
        </w:rPr>
        <w:t>目录</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rPr>
      </w:pP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lang w:eastAsia="zh-CN"/>
        </w:rPr>
      </w:pPr>
      <w:r>
        <w:rPr>
          <w:rFonts w:hint="eastAsia" w:ascii="仿宋" w:hAnsi="仿宋" w:eastAsia="仿宋" w:cs="仿宋"/>
          <w:b/>
          <w:color w:val="auto"/>
          <w:sz w:val="32"/>
          <w:szCs w:val="32"/>
          <w:highlight w:val="none"/>
          <w:shd w:val="clear" w:color="060000" w:fill="auto"/>
        </w:rPr>
        <w:t xml:space="preserve">第一章 </w:t>
      </w:r>
      <w:r>
        <w:rPr>
          <w:rFonts w:hint="eastAsia" w:ascii="仿宋" w:hAnsi="仿宋" w:eastAsia="仿宋" w:cs="仿宋"/>
          <w:b/>
          <w:color w:val="auto"/>
          <w:sz w:val="32"/>
          <w:szCs w:val="32"/>
          <w:highlight w:val="none"/>
          <w:shd w:val="clear" w:color="060000" w:fill="auto"/>
          <w:lang w:val="en-US" w:eastAsia="zh-CN"/>
        </w:rPr>
        <w:t>询比采购邀请函</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highlight w:val="none"/>
          <w:shd w:val="clear" w:color="060000" w:fill="auto"/>
          <w:lang w:val="en-US" w:eastAsia="zh-CN"/>
        </w:rPr>
      </w:pPr>
      <w:r>
        <w:rPr>
          <w:rFonts w:hint="eastAsia" w:ascii="仿宋" w:hAnsi="仿宋" w:eastAsia="仿宋" w:cs="仿宋"/>
          <w:b/>
          <w:color w:val="auto"/>
          <w:sz w:val="32"/>
          <w:szCs w:val="32"/>
          <w:highlight w:val="none"/>
          <w:shd w:val="clear" w:color="060000" w:fill="auto"/>
          <w:lang w:eastAsia="zh-CN"/>
        </w:rPr>
        <w:t>第二章</w:t>
      </w:r>
      <w:r>
        <w:rPr>
          <w:rFonts w:hint="eastAsia" w:ascii="仿宋" w:hAnsi="仿宋" w:eastAsia="仿宋" w:cs="仿宋"/>
          <w:b/>
          <w:color w:val="auto"/>
          <w:sz w:val="32"/>
          <w:szCs w:val="32"/>
          <w:highlight w:val="none"/>
          <w:shd w:val="clear" w:color="060000" w:fill="auto"/>
          <w:lang w:val="en-US" w:eastAsia="zh-CN"/>
        </w:rPr>
        <w:t xml:space="preserve"> 采购需求</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eastAsia="zh-CN"/>
        </w:rPr>
        <w:t>三</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投标人</w:t>
      </w:r>
      <w:r>
        <w:rPr>
          <w:rFonts w:hint="eastAsia" w:ascii="仿宋" w:hAnsi="仿宋" w:eastAsia="仿宋" w:cs="仿宋"/>
          <w:b/>
          <w:color w:val="auto"/>
          <w:sz w:val="32"/>
          <w:szCs w:val="32"/>
          <w:highlight w:val="none"/>
          <w:shd w:val="clear" w:color="060000" w:fill="auto"/>
        </w:rPr>
        <w:t>须知</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highlight w:val="none"/>
          <w:shd w:val="clear" w:color="060000" w:fill="auto"/>
          <w:lang w:val="en-US" w:eastAsia="zh-CN"/>
        </w:rPr>
      </w:pPr>
      <w:r>
        <w:rPr>
          <w:rFonts w:hint="eastAsia" w:ascii="仿宋" w:hAnsi="仿宋" w:eastAsia="仿宋" w:cs="仿宋"/>
          <w:b/>
          <w:color w:val="auto"/>
          <w:sz w:val="32"/>
          <w:szCs w:val="32"/>
          <w:highlight w:val="none"/>
          <w:shd w:val="clear" w:color="060000" w:fill="auto"/>
          <w:lang w:eastAsia="zh-CN"/>
        </w:rPr>
        <w:t>第四章</w:t>
      </w:r>
      <w:r>
        <w:rPr>
          <w:rFonts w:hint="eastAsia" w:ascii="仿宋" w:hAnsi="仿宋" w:eastAsia="仿宋" w:cs="仿宋"/>
          <w:b/>
          <w:color w:val="auto"/>
          <w:sz w:val="32"/>
          <w:szCs w:val="32"/>
          <w:highlight w:val="none"/>
          <w:shd w:val="clear" w:color="060000" w:fill="auto"/>
          <w:lang w:val="en-US" w:eastAsia="zh-CN"/>
        </w:rPr>
        <w:t xml:space="preserve"> 评分办法</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eastAsia="zh-CN"/>
        </w:rPr>
        <w:t>五</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投标文件</w:t>
      </w:r>
      <w:r>
        <w:rPr>
          <w:rFonts w:hint="eastAsia" w:ascii="仿宋" w:hAnsi="仿宋" w:eastAsia="仿宋" w:cs="仿宋"/>
          <w:b/>
          <w:color w:val="auto"/>
          <w:sz w:val="32"/>
          <w:szCs w:val="32"/>
          <w:highlight w:val="none"/>
          <w:shd w:val="clear" w:color="060000" w:fill="auto"/>
        </w:rPr>
        <w:t>有关格式</w:t>
      </w:r>
    </w:p>
    <w:p>
      <w:pPr>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第一章 询比采购邀请函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许昌市城投发展集团有限公司</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人）拟通过</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的方式</w:t>
      </w:r>
      <w:r>
        <w:rPr>
          <w:rFonts w:hint="eastAsia" w:ascii="仿宋_GB2312" w:hAnsi="仿宋_GB2312" w:eastAsia="仿宋_GB2312" w:cs="仿宋_GB2312"/>
          <w:sz w:val="32"/>
          <w:szCs w:val="32"/>
          <w:highlight w:val="none"/>
          <w:lang w:eastAsia="zh-CN"/>
        </w:rPr>
        <w:t>选择招标代理机构代理询比采购人非公开发行公司债券主承销商招标</w:t>
      </w:r>
      <w:r>
        <w:rPr>
          <w:rFonts w:hint="eastAsia" w:ascii="仿宋_GB2312" w:hAnsi="仿宋_GB2312" w:eastAsia="仿宋_GB2312" w:cs="仿宋_GB2312"/>
          <w:sz w:val="32"/>
          <w:szCs w:val="32"/>
          <w:highlight w:val="none"/>
          <w:lang w:val="en-US" w:eastAsia="zh-CN"/>
        </w:rPr>
        <w:t>（招标方式及项目名称最终以发布的招标文件为准）</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，现诚邀符合资格条件的</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参加。</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eastAsia="zh-CN"/>
        </w:rPr>
        <w:t>询比采购</w:t>
      </w:r>
      <w:r>
        <w:rPr>
          <w:rFonts w:hint="eastAsia" w:ascii="仿宋_GB2312" w:hAnsi="仿宋_GB2312" w:eastAsia="仿宋_GB2312" w:cs="仿宋_GB2312"/>
          <w:b/>
          <w:bCs w:val="0"/>
          <w:sz w:val="32"/>
          <w:szCs w:val="32"/>
          <w:highlight w:val="none"/>
          <w:lang w:val="en-US" w:eastAsia="zh-CN"/>
        </w:rPr>
        <w:t>项目</w:t>
      </w:r>
      <w:r>
        <w:rPr>
          <w:rFonts w:hint="eastAsia" w:ascii="仿宋_GB2312" w:hAnsi="仿宋_GB2312" w:eastAsia="仿宋_GB2312" w:cs="仿宋_GB2312"/>
          <w:b/>
          <w:bCs w:val="0"/>
          <w:sz w:val="32"/>
          <w:szCs w:val="32"/>
          <w:highlight w:val="none"/>
        </w:rPr>
        <w:t>概况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仿宋_GB2312" w:hAnsi="仿宋_GB2312" w:eastAsia="仿宋_GB2312" w:cs="仿宋_GB2312"/>
          <w:b/>
          <w:sz w:val="32"/>
          <w:szCs w:val="32"/>
          <w:highlight w:val="none"/>
          <w:lang w:val="en-US" w:eastAsia="zh-CN"/>
        </w:rPr>
        <w:t>项目名称：</w:t>
      </w:r>
      <w:r>
        <w:rPr>
          <w:rFonts w:hint="eastAsia" w:ascii="仿宋_GB2312" w:hAnsi="仿宋_GB2312" w:eastAsia="仿宋_GB2312" w:cs="仿宋_GB2312"/>
          <w:sz w:val="32"/>
          <w:szCs w:val="32"/>
          <w:highlight w:val="none"/>
          <w:lang w:val="en-US" w:eastAsia="zh-CN"/>
        </w:rPr>
        <w:t>许昌市城投发展集团有限公司2023年非公开发行公司债券主承销商招标项目招标代理机构服务询比采购项目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sz w:val="32"/>
          <w:szCs w:val="32"/>
          <w:highlight w:val="none"/>
          <w:lang w:eastAsia="zh-CN"/>
        </w:rPr>
        <w:t>询比采购</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highlight w:val="none"/>
          <w:lang w:val="en-US" w:eastAsia="zh-CN"/>
        </w:rPr>
        <w:t>许昌市城投发展集团有限公司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highlight w:val="none"/>
        </w:rPr>
      </w:pPr>
      <w:r>
        <w:rPr>
          <w:rFonts w:hint="eastAsia" w:ascii="仿宋_GB2312" w:hAnsi="仿宋_GB2312" w:eastAsia="仿宋_GB2312" w:cs="仿宋_GB2312"/>
          <w:b/>
          <w:sz w:val="32"/>
          <w:szCs w:val="32"/>
          <w:highlight w:val="none"/>
          <w:lang w:val="en-US" w:eastAsia="zh-CN"/>
        </w:rPr>
        <w:t>项目概况：</w:t>
      </w:r>
      <w:r>
        <w:rPr>
          <w:rFonts w:hint="eastAsia" w:ascii="仿宋_GB2312" w:hAnsi="仿宋_GB2312" w:eastAsia="仿宋_GB2312" w:cs="仿宋_GB2312"/>
          <w:sz w:val="32"/>
          <w:szCs w:val="32"/>
          <w:highlight w:val="none"/>
          <w:lang w:val="en-US" w:eastAsia="zh-CN"/>
        </w:rPr>
        <w:t>许昌市城投发展集团有限公司拟通过证券交易所申请2023年非公开发行总额不超过20亿人民币（含20亿元）、债券期限不超过5年（含5年）的公司债券，为有序推进债券申报注册发行工作，招标代理机构须</w:t>
      </w:r>
      <w:r>
        <w:rPr>
          <w:rFonts w:hint="eastAsia" w:ascii="仿宋_GB2312" w:hAnsi="仿宋_GB2312" w:eastAsia="仿宋_GB2312" w:cs="仿宋_GB2312"/>
          <w:sz w:val="32"/>
          <w:szCs w:val="32"/>
          <w:highlight w:val="none"/>
          <w:lang w:eastAsia="zh-CN"/>
        </w:rPr>
        <w:t>为该债券</w:t>
      </w:r>
      <w:r>
        <w:rPr>
          <w:rFonts w:hint="eastAsia" w:ascii="仿宋_GB2312" w:hAnsi="仿宋_GB2312" w:eastAsia="仿宋_GB2312" w:cs="仿宋_GB2312"/>
          <w:sz w:val="32"/>
          <w:szCs w:val="32"/>
          <w:highlight w:val="none"/>
          <w:lang w:val="en-US" w:eastAsia="zh-CN"/>
        </w:rPr>
        <w:t>主承销商招标项目提供招标代理服务、配套服务、手续办理、资料整理等相关工作，并通过招标方式选取一家有实力、有经验的主承销商提供债券申报注册发行及承销服务。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询比采购招标代理机构</w:t>
      </w:r>
      <w:r>
        <w:rPr>
          <w:rFonts w:hint="eastAsia" w:ascii="仿宋_GB2312" w:hAnsi="仿宋_GB2312" w:eastAsia="仿宋_GB2312" w:cs="仿宋_GB2312"/>
          <w:b/>
          <w:bCs/>
          <w:sz w:val="32"/>
          <w:szCs w:val="32"/>
          <w:highlight w:val="none"/>
        </w:rPr>
        <w:t>服务</w:t>
      </w:r>
      <w:r>
        <w:rPr>
          <w:rFonts w:hint="eastAsia" w:ascii="仿宋_GB2312" w:hAnsi="仿宋_GB2312" w:eastAsia="仿宋_GB2312" w:cs="仿宋_GB2312"/>
          <w:b/>
          <w:bCs/>
          <w:sz w:val="32"/>
          <w:szCs w:val="32"/>
          <w:highlight w:val="none"/>
          <w:lang w:eastAsia="zh-CN"/>
        </w:rPr>
        <w:t>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严格遵循《中华人民共和国招标投标法》、《中华人民共和国政府采购法》及实施条例等有关部门制定的法律法规和各项制度，为询比采购人非公开发行公司债券主承销商招标项目提出科学的招标方案，编制招标文件，在指定媒体上发布招标公告或邀请函，并解释招标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落实开标评标（或谈判）地点，编制评标（评审）办法，抽取专家，组建评标委员会(谈判小组、询价小组)，主持开标或谈判，指定专人记录，组织评审工作，整理评审报告送招标人，发出中标（成交）通知书，在指定媒体上发布中标、成交公告，协调处理合同执行中遇到的问题，答复投标人的询问和质疑，有关文件报送招标人备案及保存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highlight w:val="none"/>
          <w:lang w:val="zh-CN" w:eastAsia="zh-CN"/>
        </w:rPr>
      </w:pPr>
      <w:r>
        <w:rPr>
          <w:rFonts w:hint="eastAsia" w:ascii="仿宋_GB2312" w:hAnsi="仿宋_GB2312" w:eastAsia="仿宋_GB2312" w:cs="仿宋_GB2312"/>
          <w:sz w:val="32"/>
          <w:szCs w:val="32"/>
          <w:highlight w:val="none"/>
          <w:lang w:val="en-US" w:eastAsia="zh-CN"/>
        </w:rPr>
        <w:t>3、接受招标监管部门及询比采购人监督，保守招标过程中有关商业秘密以及其他事项。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三、</w:t>
      </w:r>
      <w:r>
        <w:rPr>
          <w:rFonts w:hint="eastAsia" w:ascii="仿宋_GB2312" w:hAnsi="仿宋_GB2312" w:eastAsia="仿宋_GB2312" w:cs="仿宋_GB2312"/>
          <w:b/>
          <w:bCs w:val="0"/>
          <w:sz w:val="32"/>
          <w:szCs w:val="32"/>
          <w:highlight w:val="none"/>
          <w:lang w:eastAsia="zh-CN"/>
        </w:rPr>
        <w:t>投标</w:t>
      </w:r>
      <w:r>
        <w:rPr>
          <w:rFonts w:hint="eastAsia" w:ascii="仿宋_GB2312" w:hAnsi="仿宋_GB2312" w:eastAsia="仿宋_GB2312" w:cs="仿宋_GB2312"/>
          <w:b/>
          <w:bCs w:val="0"/>
          <w:sz w:val="32"/>
          <w:szCs w:val="32"/>
          <w:highlight w:val="none"/>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参与此次</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具有服务类招标代理资质，已招标成功及已进入招标程序的同类业务招标代理业绩</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、未</w:t>
      </w:r>
      <w:r>
        <w:rPr>
          <w:rFonts w:hint="eastAsia" w:ascii="仿宋_GB2312" w:hAnsi="仿宋_GB2312" w:eastAsia="仿宋_GB2312" w:cs="仿宋_GB2312"/>
          <w:sz w:val="32"/>
          <w:szCs w:val="32"/>
          <w:highlight w:val="none"/>
          <w:lang w:val="en-US" w:eastAsia="zh-CN"/>
        </w:rPr>
        <w:t>被列入经营异常名录或者严重违法失信名单、失信被执行人，重大税收违法案件当事人名单、政府采购严重违法失信行为记录名单</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四、</w:t>
      </w:r>
      <w:r>
        <w:rPr>
          <w:rFonts w:hint="eastAsia" w:ascii="仿宋_GB2312" w:hAnsi="仿宋_GB2312" w:eastAsia="仿宋_GB2312" w:cs="仿宋_GB2312"/>
          <w:b/>
          <w:bCs w:val="0"/>
          <w:sz w:val="32"/>
          <w:szCs w:val="32"/>
          <w:highlight w:val="none"/>
          <w:lang w:eastAsia="zh-CN"/>
        </w:rPr>
        <w:t>投标</w:t>
      </w:r>
      <w:r>
        <w:rPr>
          <w:rFonts w:hint="eastAsia" w:ascii="仿宋_GB2312" w:hAnsi="仿宋_GB2312" w:eastAsia="仿宋_GB2312" w:cs="仿宋_GB2312"/>
          <w:b/>
          <w:bCs w:val="0"/>
          <w:sz w:val="32"/>
          <w:szCs w:val="32"/>
          <w:highlight w:val="none"/>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按照询比采购文件第五章要求提供。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五、</w:t>
      </w:r>
      <w:r>
        <w:rPr>
          <w:rFonts w:hint="eastAsia" w:ascii="仿宋_GB2312" w:hAnsi="仿宋_GB2312" w:eastAsia="仿宋_GB2312" w:cs="仿宋_GB2312"/>
          <w:b/>
          <w:bCs w:val="0"/>
          <w:sz w:val="32"/>
          <w:szCs w:val="32"/>
          <w:highlight w:val="none"/>
          <w:lang w:eastAsia="zh-CN"/>
        </w:rPr>
        <w:t>投标</w:t>
      </w:r>
      <w:r>
        <w:rPr>
          <w:rFonts w:hint="eastAsia" w:ascii="仿宋_GB2312" w:hAnsi="仿宋_GB2312" w:eastAsia="仿宋_GB2312" w:cs="仿宋_GB2312"/>
          <w:b/>
          <w:bCs w:val="0"/>
          <w:sz w:val="32"/>
          <w:szCs w:val="32"/>
          <w:highlight w:val="none"/>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18:00</w:t>
      </w:r>
      <w:r>
        <w:rPr>
          <w:rFonts w:hint="eastAsia" w:ascii="仿宋_GB2312" w:hAnsi="仿宋_GB2312" w:eastAsia="仿宋_GB2312" w:cs="仿宋_GB2312"/>
          <w:sz w:val="32"/>
          <w:szCs w:val="32"/>
          <w:highlight w:val="none"/>
        </w:rPr>
        <w:t>前将</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highlight w:val="none"/>
          <w:lang w:eastAsia="zh-CN"/>
        </w:rPr>
        <w:t>送达（邮寄）</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b w:val="0"/>
          <w:bCs/>
          <w:sz w:val="32"/>
          <w:szCs w:val="32"/>
          <w:highlight w:val="none"/>
          <w:lang w:eastAsia="zh-CN"/>
        </w:rPr>
        <w:t>许昌市建安大道东段财政综合大楼</w:t>
      </w:r>
      <w:r>
        <w:rPr>
          <w:rFonts w:hint="eastAsia" w:ascii="仿宋_GB2312" w:hAnsi="仿宋_GB2312" w:eastAsia="仿宋_GB2312" w:cs="仿宋_GB2312"/>
          <w:b w:val="0"/>
          <w:bCs/>
          <w:sz w:val="32"/>
          <w:szCs w:val="32"/>
          <w:highlight w:val="none"/>
          <w:lang w:val="en-US" w:eastAsia="zh-CN"/>
        </w:rPr>
        <w:t>816房间</w:t>
      </w:r>
      <w:r>
        <w:rPr>
          <w:rFonts w:hint="eastAsia" w:ascii="仿宋_GB2312" w:hAnsi="仿宋_GB2312" w:eastAsia="仿宋_GB2312" w:cs="仿宋_GB2312"/>
          <w:sz w:val="32"/>
          <w:szCs w:val="32"/>
          <w:highlight w:val="none"/>
          <w:lang w:eastAsia="zh-CN"/>
        </w:rPr>
        <w:t>许昌市城投发展集团有限公司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六、</w:t>
      </w:r>
      <w:r>
        <w:rPr>
          <w:rFonts w:hint="eastAsia" w:ascii="仿宋_GB2312" w:hAnsi="仿宋_GB2312" w:eastAsia="仿宋_GB2312" w:cs="仿宋_GB2312"/>
          <w:b/>
          <w:bCs w:val="0"/>
          <w:sz w:val="32"/>
          <w:szCs w:val="32"/>
          <w:highlight w:val="none"/>
          <w:lang w:eastAsia="zh-CN"/>
        </w:rPr>
        <w:t>询比采购</w:t>
      </w:r>
      <w:r>
        <w:rPr>
          <w:rFonts w:hint="eastAsia" w:ascii="仿宋_GB2312" w:hAnsi="仿宋_GB2312" w:eastAsia="仿宋_GB2312" w:cs="仿宋_GB2312"/>
          <w:b/>
          <w:bCs w:val="0"/>
          <w:sz w:val="32"/>
          <w:szCs w:val="32"/>
          <w:highlight w:val="none"/>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遵循公正、公平的原则，严格按照法律法规要求进行</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采用综合评分法，按得分由高到低确定候选人，如最高得分为两家或两家以上时，由</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人须按照要求提供</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、如</w:t>
      </w:r>
      <w:r>
        <w:rPr>
          <w:rFonts w:hint="eastAsia" w:ascii="仿宋_GB2312" w:hAnsi="仿宋_GB2312" w:eastAsia="仿宋_GB2312" w:cs="仿宋_GB2312"/>
          <w:sz w:val="32"/>
          <w:szCs w:val="32"/>
          <w:highlight w:val="none"/>
          <w:lang w:eastAsia="zh-CN"/>
        </w:rPr>
        <w:t>中标人</w:t>
      </w:r>
      <w:r>
        <w:rPr>
          <w:rFonts w:hint="eastAsia" w:ascii="仿宋_GB2312" w:hAnsi="仿宋_GB2312" w:eastAsia="仿宋_GB2312" w:cs="仿宋_GB2312"/>
          <w:sz w:val="32"/>
          <w:szCs w:val="32"/>
          <w:highlight w:val="none"/>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人有权选用其他</w:t>
      </w:r>
      <w:r>
        <w:rPr>
          <w:rFonts w:hint="eastAsia" w:ascii="仿宋_GB2312" w:hAnsi="仿宋_GB2312" w:eastAsia="仿宋_GB2312" w:cs="仿宋_GB2312"/>
          <w:sz w:val="32"/>
          <w:szCs w:val="32"/>
          <w:highlight w:val="none"/>
          <w:lang w:eastAsia="zh-CN"/>
        </w:rPr>
        <w:t>招标代理机构</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eastAsia="zh-CN"/>
        </w:rPr>
        <w:t>八、询比采购控制价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根据第三方机构出具的控制价报告，</w:t>
      </w:r>
      <w:bookmarkStart w:id="9" w:name="_GoBack"/>
      <w:bookmarkEnd w:id="9"/>
      <w:r>
        <w:rPr>
          <w:rFonts w:hint="eastAsia" w:ascii="仿宋_GB2312" w:hAnsi="仿宋_GB2312" w:eastAsia="仿宋_GB2312" w:cs="仿宋_GB2312"/>
          <w:sz w:val="32"/>
          <w:szCs w:val="32"/>
          <w:highlight w:val="none"/>
          <w:lang w:eastAsia="zh-CN"/>
        </w:rPr>
        <w:t>本次招标代理机构服务费询比采购控制价为</w:t>
      </w:r>
      <w:r>
        <w:rPr>
          <w:rFonts w:hint="eastAsia" w:ascii="仿宋_GB2312" w:hAnsi="仿宋_GB2312" w:eastAsia="仿宋_GB2312" w:cs="仿宋_GB2312"/>
          <w:b/>
          <w:bCs w:val="0"/>
          <w:sz w:val="32"/>
          <w:szCs w:val="32"/>
          <w:highlight w:val="none"/>
          <w:lang w:val="en-US" w:eastAsia="zh-CN"/>
        </w:rPr>
        <w:t>投标下浮率不低于20%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参照《招标代理服务收费管理暂行办法》（计价格〔</w:t>
      </w:r>
      <w:r>
        <w:rPr>
          <w:rFonts w:hint="default" w:ascii="仿宋_GB2312" w:hAnsi="仿宋_GB2312" w:eastAsia="仿宋_GB2312" w:cs="仿宋_GB2312"/>
          <w:sz w:val="32"/>
          <w:szCs w:val="32"/>
          <w:highlight w:val="none"/>
          <w:lang w:val="en-US" w:eastAsia="zh-CN"/>
        </w:rPr>
        <w:t>2002</w:t>
      </w:r>
      <w:r>
        <w:rPr>
          <w:rFonts w:hint="eastAsia" w:ascii="仿宋_GB2312" w:hAnsi="仿宋_GB2312" w:eastAsia="仿宋_GB2312" w:cs="仿宋_GB2312"/>
          <w:sz w:val="32"/>
          <w:szCs w:val="32"/>
          <w:highlight w:val="none"/>
          <w:lang w:val="en-US" w:eastAsia="zh-CN"/>
        </w:rPr>
        <w:t>〕1980号）规定，投标人在下表所列招标代理服务费收费费率基础上投报下浮率。</w:t>
      </w:r>
    </w:p>
    <w:tbl>
      <w:tblPr>
        <w:tblStyle w:val="28"/>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273"/>
        <w:gridCol w:w="1687"/>
        <w:gridCol w:w="1687"/>
        <w:gridCol w:w="16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中标金额（万元）</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货物招标</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服务招标</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100以下</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100-500</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0.8%</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500-1000</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0.8%</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0.45%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1000-5000</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0.25%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5000-10000</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0.25%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0.1%</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10000-100000</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10000</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rPr>
              <w:t>0以上</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0.01%</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0.01%</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0.01%</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w:t>
      </w:r>
      <w:r>
        <w:rPr>
          <w:rFonts w:hint="eastAsia" w:ascii="仿宋_GB2312" w:hAnsi="仿宋_GB2312" w:eastAsia="仿宋_GB2312" w:cs="仿宋_GB2312"/>
          <w:sz w:val="32"/>
          <w:szCs w:val="32"/>
          <w:highlight w:val="none"/>
          <w:lang w:val="en-US" w:eastAsia="zh-CN"/>
        </w:rPr>
        <w:t>本次询比采购公告在许昌市城投发展集团有限公司官网（网</w:t>
      </w:r>
      <w:r>
        <w:rPr>
          <w:rFonts w:hint="eastAsia" w:ascii="仿宋_GB2312" w:hAnsi="仿宋_GB2312" w:eastAsia="仿宋_GB2312" w:cs="仿宋_GB2312"/>
          <w:sz w:val="32"/>
          <w:szCs w:val="32"/>
          <w:highlight w:val="none"/>
          <w:lang w:eastAsia="zh-CN"/>
        </w:rPr>
        <w:t>站地址：www.xcsct.cn）发布。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35393795"/>
      <w:bookmarkEnd w:id="0"/>
      <w:bookmarkStart w:id="1" w:name="_Toc28359008"/>
      <w:bookmarkEnd w:id="1"/>
      <w:bookmarkStart w:id="2" w:name="_Toc35393796"/>
      <w:bookmarkEnd w:id="2"/>
      <w:bookmarkStart w:id="3" w:name="_Toc35393626"/>
      <w:bookmarkEnd w:id="3"/>
      <w:bookmarkStart w:id="4" w:name="_Toc35393627"/>
      <w:bookmarkEnd w:id="4"/>
      <w:bookmarkStart w:id="5" w:name="_Toc28359085"/>
      <w:bookmarkEnd w:id="5"/>
      <w:r>
        <w:rPr>
          <w:rFonts w:hint="eastAsia" w:ascii="仿宋_GB2312" w:hAnsi="仿宋_GB2312" w:eastAsia="仿宋_GB2312" w:cs="仿宋_GB2312"/>
          <w:b/>
          <w:bCs w:val="0"/>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询比采购人</w:t>
      </w:r>
      <w:r>
        <w:rPr>
          <w:rFonts w:hint="eastAsia" w:ascii="仿宋_GB2312" w:hAnsi="仿宋_GB2312" w:eastAsia="仿宋_GB2312" w:cs="仿宋_GB2312"/>
          <w:b w:val="0"/>
          <w:bCs/>
          <w:sz w:val="32"/>
          <w:szCs w:val="32"/>
          <w:highlight w:val="none"/>
          <w:lang w:val="en-GB" w:eastAsia="zh-CN"/>
        </w:rPr>
        <w:t>：许昌市城投发展集团有限公司</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pacing w:val="20"/>
          <w:sz w:val="32"/>
          <w:szCs w:val="32"/>
          <w:highlight w:val="none"/>
          <w:lang w:val="en-GB" w:eastAsia="zh-CN"/>
        </w:rPr>
        <w:t>地</w:t>
      </w:r>
      <w:r>
        <w:rPr>
          <w:rFonts w:hint="eastAsia" w:ascii="仿宋_GB2312" w:hAnsi="仿宋_GB2312" w:eastAsia="仿宋_GB2312" w:cs="仿宋_GB2312"/>
          <w:b w:val="0"/>
          <w:bCs/>
          <w:spacing w:val="20"/>
          <w:sz w:val="32"/>
          <w:szCs w:val="32"/>
          <w:highlight w:val="none"/>
          <w:lang w:eastAsia="zh-CN"/>
        </w:rPr>
        <w:t xml:space="preserve">  </w:t>
      </w:r>
      <w:r>
        <w:rPr>
          <w:rFonts w:hint="eastAsia" w:ascii="仿宋_GB2312" w:hAnsi="仿宋_GB2312" w:eastAsia="仿宋_GB2312" w:cs="仿宋_GB2312"/>
          <w:b w:val="0"/>
          <w:bCs/>
          <w:spacing w:val="20"/>
          <w:sz w:val="32"/>
          <w:szCs w:val="32"/>
          <w:highlight w:val="none"/>
          <w:lang w:val="en-US" w:eastAsia="zh-CN"/>
        </w:rPr>
        <w:t xml:space="preserve"> </w:t>
      </w:r>
      <w:r>
        <w:rPr>
          <w:rFonts w:hint="eastAsia" w:ascii="仿宋_GB2312" w:hAnsi="仿宋_GB2312" w:eastAsia="仿宋_GB2312" w:cs="仿宋_GB2312"/>
          <w:b w:val="0"/>
          <w:bCs/>
          <w:spacing w:val="20"/>
          <w:sz w:val="32"/>
          <w:szCs w:val="32"/>
          <w:highlight w:val="none"/>
          <w:lang w:eastAsia="zh-CN"/>
        </w:rPr>
        <w:t xml:space="preserve"> </w:t>
      </w:r>
      <w:r>
        <w:rPr>
          <w:rFonts w:hint="eastAsia" w:ascii="仿宋_GB2312" w:hAnsi="仿宋_GB2312" w:eastAsia="仿宋_GB2312" w:cs="仿宋_GB2312"/>
          <w:b w:val="0"/>
          <w:bCs/>
          <w:spacing w:val="20"/>
          <w:sz w:val="32"/>
          <w:szCs w:val="32"/>
          <w:highlight w:val="none"/>
          <w:lang w:val="en-GB" w:eastAsia="zh-CN"/>
        </w:rPr>
        <w:t>址：</w:t>
      </w:r>
      <w:r>
        <w:rPr>
          <w:rFonts w:hint="eastAsia" w:ascii="仿宋_GB2312" w:hAnsi="仿宋_GB2312" w:eastAsia="仿宋_GB2312" w:cs="仿宋_GB2312"/>
          <w:b w:val="0"/>
          <w:bCs/>
          <w:sz w:val="32"/>
          <w:szCs w:val="32"/>
          <w:highlight w:val="none"/>
          <w:lang w:eastAsia="zh-CN"/>
        </w:rPr>
        <w:t>许昌市建安大道东段财政综合大楼</w:t>
      </w:r>
      <w:r>
        <w:rPr>
          <w:rFonts w:hint="eastAsia" w:ascii="仿宋_GB2312" w:hAnsi="仿宋_GB2312" w:eastAsia="仿宋_GB2312" w:cs="仿宋_GB2312"/>
          <w:b w:val="0"/>
          <w:bCs/>
          <w:sz w:val="32"/>
          <w:szCs w:val="32"/>
          <w:highlight w:val="none"/>
          <w:lang w:val="en-US" w:eastAsia="zh-CN"/>
        </w:rPr>
        <w:t>816房间</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pacing w:val="20"/>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秦女士</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pacing w:val="20"/>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 w:hAnsi="仿宋" w:eastAsia="仿宋" w:cs="仿宋"/>
          <w:b w:val="0"/>
          <w:bCs/>
          <w:color w:val="auto"/>
          <w:sz w:val="24"/>
          <w:szCs w:val="24"/>
          <w:highlight w:val="none"/>
          <w:lang w:val="en-US" w:eastAsia="zh-CN"/>
        </w:rPr>
      </w:pPr>
    </w:p>
    <w:p>
      <w:pPr>
        <w:pStyle w:val="26"/>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TW"/>
        </w:rPr>
      </w:pP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lang w:eastAsia="zh-TW"/>
        </w:rPr>
        <w:t>、本项目需实现的功能或者目标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询比采购人拟通过证券交易所申请非公开发行总额不超过</w:t>
      </w:r>
      <w:r>
        <w:rPr>
          <w:rFonts w:hint="eastAsia" w:ascii="仿宋_GB2312" w:hAnsi="仿宋_GB2312" w:eastAsia="仿宋_GB2312" w:cs="仿宋_GB2312"/>
          <w:sz w:val="32"/>
          <w:szCs w:val="32"/>
          <w:highlight w:val="none"/>
          <w:lang w:val="en-US" w:eastAsia="zh-CN"/>
        </w:rPr>
        <w:t>20亿元（含20亿元）人民币、债券期限不超过5年（含5年）的</w:t>
      </w:r>
      <w:r>
        <w:rPr>
          <w:rFonts w:hint="eastAsia" w:ascii="仿宋_GB2312" w:hAnsi="仿宋_GB2312" w:eastAsia="仿宋_GB2312" w:cs="仿宋_GB2312"/>
          <w:sz w:val="32"/>
          <w:szCs w:val="32"/>
          <w:highlight w:val="none"/>
          <w:lang w:eastAsia="zh-CN"/>
        </w:rPr>
        <w:t>公司债券</w:t>
      </w:r>
      <w:r>
        <w:rPr>
          <w:rFonts w:hint="eastAsia" w:ascii="仿宋_GB2312" w:hAnsi="仿宋_GB2312" w:eastAsia="仿宋_GB2312" w:cs="仿宋_GB2312"/>
          <w:sz w:val="32"/>
          <w:szCs w:val="32"/>
          <w:highlight w:val="none"/>
          <w:lang w:val="en-US" w:eastAsia="zh-CN"/>
        </w:rPr>
        <w:t>，为有序推进债券申报注册发行工作，询比采购人拟通过询比采购的方式选择招标代理机构为询比采购人非公开发行公司债券主承销商招标项目提供招标代理服务、配套服务、手续办理、资料整理等相关工作，并通过招标方式选取一家有实力、有经验的主承销商提供债券申报注册发行及承销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lang w:val="zh-CN" w:eastAsia="zh-CN"/>
        </w:rPr>
        <w:t>、服务内容：</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严格遵循《中华人民共和国招标投标法》、《中华人民共和国政府采购法》及实施条例等有关部门制定的法律法规和各项制度，为询比采购人非公开发行公司债券主承销商招标项目提出科学的招标方案，编制招标文件，在指定媒体上发布招标公告或邀请函，并解释招标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落实开标评标（或谈判）地点，编制评标（评审）办法，抽取专家，组建评标委员会(谈判小组、询价小组)，主持开标或谈判，指定专人记录，组织评审工作，整理评审报告送招标人，发出中标（成交）通知书，在指定媒体上发布中标、成交公告，协调处理合同执行中遇到的问题，答复投标人的询问和质疑，有关文件报送招标人备案及保存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highlight w:val="none"/>
          <w:lang w:val="zh-CN" w:eastAsia="zh-CN"/>
        </w:rPr>
      </w:pPr>
      <w:r>
        <w:rPr>
          <w:rFonts w:hint="eastAsia" w:ascii="仿宋_GB2312" w:hAnsi="仿宋_GB2312" w:eastAsia="仿宋_GB2312" w:cs="仿宋_GB2312"/>
          <w:sz w:val="32"/>
          <w:szCs w:val="32"/>
          <w:highlight w:val="none"/>
          <w:lang w:val="en-US" w:eastAsia="zh-CN"/>
        </w:rPr>
        <w:t>3、接受招标监管部门及询比采购人监督，保守招标过程中有关商业秘密以及其他事项。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服务内容中所列要求为最低要求，不允许负偏离，否则将承担其投标被视为非实质性响应投标的风险。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eastAsia="zh-TW"/>
        </w:rPr>
      </w:pP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询比采购人拟通过证券交易所申请非公开发行总额不超过</w:t>
      </w:r>
      <w:r>
        <w:rPr>
          <w:rFonts w:hint="eastAsia" w:ascii="仿宋_GB2312" w:hAnsi="仿宋_GB2312" w:eastAsia="仿宋_GB2312" w:cs="仿宋_GB2312"/>
          <w:sz w:val="32"/>
          <w:szCs w:val="32"/>
          <w:highlight w:val="none"/>
          <w:lang w:val="en-US" w:eastAsia="zh-CN"/>
        </w:rPr>
        <w:t>20亿元（含）人民币、期限不超过5年（含）的</w:t>
      </w:r>
      <w:r>
        <w:rPr>
          <w:rFonts w:hint="eastAsia" w:ascii="仿宋_GB2312" w:hAnsi="仿宋_GB2312" w:eastAsia="仿宋_GB2312" w:cs="仿宋_GB2312"/>
          <w:sz w:val="32"/>
          <w:szCs w:val="32"/>
          <w:highlight w:val="none"/>
          <w:lang w:eastAsia="zh-CN"/>
        </w:rPr>
        <w:t>公司债券</w:t>
      </w:r>
      <w:r>
        <w:rPr>
          <w:rFonts w:hint="eastAsia" w:ascii="仿宋_GB2312" w:hAnsi="仿宋_GB2312" w:eastAsia="仿宋_GB2312" w:cs="仿宋_GB2312"/>
          <w:sz w:val="32"/>
          <w:szCs w:val="32"/>
          <w:highlight w:val="none"/>
          <w:lang w:val="en-US" w:eastAsia="zh-CN"/>
        </w:rPr>
        <w:t>，招标代理机构须</w:t>
      </w:r>
      <w:r>
        <w:rPr>
          <w:rFonts w:hint="eastAsia" w:ascii="仿宋_GB2312" w:hAnsi="仿宋_GB2312" w:eastAsia="仿宋_GB2312" w:cs="仿宋_GB2312"/>
          <w:sz w:val="32"/>
          <w:szCs w:val="32"/>
          <w:highlight w:val="none"/>
          <w:lang w:eastAsia="zh-CN"/>
        </w:rPr>
        <w:t>为该债券</w:t>
      </w:r>
      <w:r>
        <w:rPr>
          <w:rFonts w:hint="eastAsia" w:ascii="仿宋_GB2312" w:hAnsi="仿宋_GB2312" w:eastAsia="仿宋_GB2312" w:cs="仿宋_GB2312"/>
          <w:sz w:val="32"/>
          <w:szCs w:val="32"/>
          <w:highlight w:val="none"/>
          <w:lang w:val="en-US" w:eastAsia="zh-CN"/>
        </w:rPr>
        <w:t>主承销商招标项目提供招标代理服务等相关工作，并通过招标方式选取一家有实力、有经验的主承销商提供债券申报注册发行及承销服务。服务期限为从签订合同至选取债券主承销商成功并报送招标人招标代理服务有关文件备案及保存管理之日的工作周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以上技术要求</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因中标人的过失，给</w:t>
      </w:r>
      <w:r>
        <w:rPr>
          <w:rFonts w:hint="eastAsia" w:ascii="仿宋_GB2312" w:hAnsi="仿宋_GB2312" w:eastAsia="仿宋_GB2312" w:cs="仿宋_GB2312"/>
          <w:sz w:val="32"/>
          <w:szCs w:val="32"/>
          <w:highlight w:val="none"/>
          <w:lang w:eastAsia="zh-CN"/>
        </w:rPr>
        <w:t>询比采购人</w:t>
      </w:r>
      <w:r>
        <w:rPr>
          <w:rFonts w:hint="eastAsia" w:ascii="仿宋_GB2312" w:hAnsi="仿宋_GB2312" w:eastAsia="仿宋_GB2312" w:cs="仿宋_GB2312"/>
          <w:sz w:val="32"/>
          <w:szCs w:val="32"/>
          <w:highlight w:val="none"/>
          <w:lang w:eastAsia="zh-TW"/>
        </w:rPr>
        <w:t>造成经济损失的，应当依法赔偿</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eastAsia="zh-TW"/>
        </w:rPr>
      </w:pPr>
      <w:r>
        <w:rPr>
          <w:rFonts w:hint="eastAsia" w:ascii="仿宋_GB2312" w:hAnsi="仿宋_GB2312" w:eastAsia="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lang w:eastAsia="zh-TW"/>
        </w:rPr>
        <w:t>釆购标的的其他技术、服务等要求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lang w:eastAsia="zh-TW"/>
        </w:rPr>
        <w:t>应就</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lang w:eastAsia="zh-TW"/>
        </w:rPr>
        <w:t>项目（每包或者标段）完整投标</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2、本项目技术标准和要求以适用的国家、行业以及地方规范、标准和规程为准</w:t>
      </w:r>
      <w:r>
        <w:rPr>
          <w:rFonts w:hint="eastAsia" w:ascii="仿宋_GB2312" w:hAnsi="仿宋_GB2312" w:eastAsia="仿宋_GB2312" w:cs="仿宋_GB2312"/>
          <w:sz w:val="32"/>
          <w:szCs w:val="32"/>
          <w:highlight w:val="none"/>
          <w:lang w:eastAsia="zh-TW"/>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发出</w:t>
      </w:r>
      <w:r>
        <w:rPr>
          <w:rFonts w:hint="eastAsia" w:ascii="仿宋_GB2312" w:hAnsi="仿宋_GB2312" w:eastAsia="仿宋_GB2312" w:cs="仿宋_GB2312"/>
          <w:sz w:val="32"/>
          <w:szCs w:val="32"/>
          <w:highlight w:val="none"/>
          <w:lang w:val="zh-CN" w:eastAsia="zh-CN"/>
        </w:rPr>
        <w:t>“许昌市城投发展集团有限公司</w:t>
      </w:r>
      <w:r>
        <w:rPr>
          <w:rFonts w:hint="eastAsia" w:ascii="仿宋_GB2312" w:hAnsi="仿宋_GB2312" w:eastAsia="仿宋_GB2312" w:cs="仿宋_GB2312"/>
          <w:sz w:val="32"/>
          <w:szCs w:val="32"/>
          <w:highlight w:val="none"/>
          <w:lang w:val="en-US" w:eastAsia="zh-CN"/>
        </w:rPr>
        <w:t>2023年非公开发行公司债券主承销商招标项目”</w:t>
      </w:r>
      <w:r>
        <w:rPr>
          <w:rFonts w:hint="eastAsia" w:ascii="仿宋_GB2312" w:hAnsi="仿宋_GB2312" w:eastAsia="仿宋_GB2312" w:cs="仿宋_GB2312"/>
          <w:sz w:val="32"/>
          <w:szCs w:val="32"/>
          <w:highlight w:val="none"/>
          <w:lang w:eastAsia="zh-CN"/>
        </w:rPr>
        <w:t>中标（成交）通知书。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2、报送招标人招标代理服务有关文件备案及保存管理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val="0"/>
          <w:sz w:val="32"/>
          <w:szCs w:val="32"/>
          <w:highlight w:val="none"/>
          <w:lang w:eastAsia="zh-CN"/>
        </w:rPr>
        <w:t>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本次招标代理机构服务费询比采购控制价为</w:t>
      </w:r>
      <w:r>
        <w:rPr>
          <w:rFonts w:hint="eastAsia" w:ascii="仿宋_GB2312" w:hAnsi="仿宋_GB2312" w:eastAsia="仿宋_GB2312" w:cs="仿宋_GB2312"/>
          <w:b/>
          <w:bCs w:val="0"/>
          <w:sz w:val="32"/>
          <w:szCs w:val="32"/>
          <w:highlight w:val="none"/>
          <w:lang w:val="en-US" w:eastAsia="zh-CN"/>
        </w:rPr>
        <w:t>投标下浮率不低于20%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参照《招标代理服务收费管理暂行办法》（计价格〔</w:t>
      </w:r>
      <w:r>
        <w:rPr>
          <w:rFonts w:hint="default" w:ascii="仿宋_GB2312" w:hAnsi="仿宋_GB2312" w:eastAsia="仿宋_GB2312" w:cs="仿宋_GB2312"/>
          <w:sz w:val="32"/>
          <w:szCs w:val="32"/>
          <w:highlight w:val="none"/>
          <w:lang w:val="en-US" w:eastAsia="zh-CN"/>
        </w:rPr>
        <w:t>2002</w:t>
      </w:r>
      <w:r>
        <w:rPr>
          <w:rFonts w:hint="eastAsia" w:ascii="仿宋_GB2312" w:hAnsi="仿宋_GB2312" w:eastAsia="仿宋_GB2312" w:cs="仿宋_GB2312"/>
          <w:sz w:val="32"/>
          <w:szCs w:val="32"/>
          <w:highlight w:val="none"/>
          <w:lang w:val="en-US" w:eastAsia="zh-CN"/>
        </w:rPr>
        <w:t>〕1980号）规定，投标人在下表所列招标代理服务费收费费率基础上投报下浮率。</w:t>
      </w:r>
    </w:p>
    <w:tbl>
      <w:tblPr>
        <w:tblStyle w:val="28"/>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273"/>
        <w:gridCol w:w="1687"/>
        <w:gridCol w:w="1687"/>
        <w:gridCol w:w="16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中标金额（万元）</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货物招标</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服务招标</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100以下</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100-500</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0.8%</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500-1000</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0.8%</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0.45%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1000-5000</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0.25%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5000-10000</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0.25%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0.1%</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10000-100000</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0.05%</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10000</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rPr>
              <w:t>0以上</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0.01%</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0.01%</w:t>
            </w:r>
          </w:p>
        </w:tc>
        <w:tc>
          <w:tcPr>
            <w:tcW w:w="1687"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0.01%</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根据国家现行行业标准收取。一次性以银行划账、电汇、汇票或支票的形式由“许昌市城投发展集团有限公司2023年非公开发行公司债券主承销商招标项目”中标人支付招标代理服务费用。</w:t>
      </w:r>
    </w:p>
    <w:p>
      <w:pPr>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b/>
          <w:bCs/>
          <w:caps/>
          <w:color w:val="auto"/>
          <w:kern w:val="0"/>
          <w:sz w:val="40"/>
          <w:szCs w:val="40"/>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第三章 投标人须知</w:t>
      </w:r>
    </w:p>
    <w:tbl>
      <w:tblPr>
        <w:tblStyle w:val="28"/>
        <w:tblW w:w="9887" w:type="dxa"/>
        <w:jc w:val="center"/>
        <w:tblLayout w:type="autofit"/>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eastAsia="zh-CN"/>
              </w:rPr>
              <w:t>询比采购</w:t>
            </w:r>
            <w:r>
              <w:rPr>
                <w:rFonts w:hint="eastAsia" w:ascii="仿宋" w:hAnsi="仿宋" w:eastAsia="仿宋" w:cs="仿宋"/>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项目名称：</w:t>
            </w:r>
            <w:r>
              <w:rPr>
                <w:rFonts w:hint="eastAsia" w:ascii="仿宋" w:hAnsi="仿宋" w:eastAsia="仿宋" w:cs="仿宋"/>
                <w:color w:val="auto"/>
                <w:sz w:val="24"/>
                <w:szCs w:val="24"/>
                <w:highlight w:val="none"/>
                <w:lang w:val="en-US" w:eastAsia="zh-CN"/>
              </w:rPr>
              <w:t>许昌市城投发展集团有限公司2023年非公开发行公司债券主承销商招标项目招标代理机构服务询比采购项目</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RZB-2023004</w:t>
            </w:r>
            <w:r>
              <w:rPr>
                <w:rFonts w:hint="eastAsia" w:ascii="仿宋" w:hAnsi="仿宋" w:eastAsia="仿宋" w:cs="仿宋"/>
                <w:color w:val="auto"/>
                <w:sz w:val="24"/>
                <w:szCs w:val="24"/>
                <w:highlight w:val="none"/>
                <w:lang w:eastAsia="zh-CN"/>
              </w:rPr>
              <w:t xml:space="preserve">号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lang w:val="zh-CN"/>
              </w:rPr>
              <w:t>项目内容：</w:t>
            </w:r>
            <w:r>
              <w:rPr>
                <w:rFonts w:hint="eastAsia" w:ascii="仿宋" w:hAnsi="仿宋" w:eastAsia="仿宋" w:cs="仿宋"/>
                <w:color w:val="auto"/>
                <w:sz w:val="24"/>
                <w:szCs w:val="24"/>
                <w:highlight w:val="none"/>
                <w:lang w:val="zh-CN" w:eastAsia="zh-CN"/>
              </w:rPr>
              <w:t>许昌市城投发展集团有限公司拟通过证券交易所申请2023年非公开发行总额不超过20亿人民币（含20亿元）、债券期限不超过5年（含5年）的公司债券，为有序推进债券申报注册发行工作，招标代理机构须为该债券主承销商招标项目提供招标代理服务、配套服务、手续办理、资料整理等相关工作，并通过招标方式选取一家有实力、有经验的主承销商提供债券申报注册发行及承销服务。</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eastAsia="zh-CN"/>
              </w:rPr>
            </w:pPr>
            <w:r>
              <w:rPr>
                <w:rFonts w:hint="eastAsia" w:ascii="仿宋" w:hAnsi="仿宋" w:eastAsia="仿宋" w:cs="仿宋"/>
                <w:color w:val="auto"/>
                <w:sz w:val="24"/>
                <w:szCs w:val="24"/>
                <w:highlight w:val="none"/>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 xml:space="preserve">联 系 人：秦女士           </w:t>
            </w:r>
          </w:p>
          <w:p>
            <w:pPr>
              <w:autoSpaceDE w:val="0"/>
              <w:autoSpaceDN w:val="0"/>
              <w:adjustRightInd w:val="0"/>
              <w:spacing w:line="540" w:lineRule="exact"/>
              <w:ind w:right="-11" w:rightChars="0"/>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40000" w:fill="auto"/>
              </w:rPr>
              <w:t>★</w:t>
            </w:r>
            <w:r>
              <w:rPr>
                <w:rFonts w:hint="eastAsia" w:ascii="仿宋" w:hAnsi="仿宋" w:eastAsia="仿宋" w:cs="仿宋"/>
                <w:color w:val="auto"/>
                <w:sz w:val="24"/>
                <w:szCs w:val="24"/>
                <w:highlight w:val="none"/>
                <w:shd w:val="clear" w:color="040000" w:fill="auto"/>
                <w:lang w:eastAsia="zh-CN"/>
              </w:rPr>
              <w:t>投标人</w:t>
            </w:r>
            <w:r>
              <w:rPr>
                <w:rFonts w:hint="eastAsia" w:ascii="仿宋" w:hAnsi="仿宋" w:eastAsia="仿宋" w:cs="仿宋"/>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5"/>
              </w:numPr>
              <w:kinsoku/>
              <w:wordWrap/>
              <w:overflowPunct/>
              <w:topLinePunct w:val="0"/>
              <w:autoSpaceDE/>
              <w:autoSpaceDN/>
              <w:bidi w:val="0"/>
              <w:adjustRightInd/>
              <w:snapToGrid w:val="0"/>
              <w:spacing w:line="520" w:lineRule="exact"/>
              <w:jc w:val="both"/>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r>
              <w:rPr>
                <w:rFonts w:hint="eastAsia" w:ascii="仿宋" w:hAnsi="仿宋" w:eastAsia="仿宋" w:cs="仿宋"/>
                <w:b/>
                <w:bCs w:val="0"/>
                <w:color w:val="auto"/>
                <w:sz w:val="24"/>
                <w:szCs w:val="24"/>
                <w:highlight w:val="none"/>
                <w:lang w:val="zh-CN" w:eastAsia="zh-CN"/>
              </w:rPr>
              <w:t>、《中华人民共和国招标投标法》第十三条和第三十七条第三款规定</w:t>
            </w:r>
          </w:p>
          <w:p>
            <w:pPr>
              <w:keepNext w:val="0"/>
              <w:keepLines w:val="0"/>
              <w:pageBreakBefore w:val="0"/>
              <w:widowControl/>
              <w:numPr>
                <w:ilvl w:val="0"/>
                <w:numId w:val="5"/>
              </w:numPr>
              <w:kinsoku/>
              <w:wordWrap/>
              <w:overflowPunct/>
              <w:topLinePunct w:val="0"/>
              <w:autoSpaceDE/>
              <w:autoSpaceDN/>
              <w:bidi w:val="0"/>
              <w:adjustRightInd/>
              <w:snapToGrid w:val="0"/>
              <w:spacing w:line="520" w:lineRule="exact"/>
              <w:jc w:val="both"/>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1、在中华人民共和国境内注册，具备独立法人资格，持有合法有效的企业法人营业执照；</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2、投标人具有服务类招标代理资质，已招标成功及已进入招标程序的同类业务招标代理业绩；</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3、近三年未因重大的执业质量等问题受到通报、处罚，没有处于破产、被责令停业或存在其他违法行为；</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4、未被列入经营异常名录或者严重违法失信名单、失信被执行人，重大税收违法案件当事人名单、政府采购严重违法失信行为记录名单。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本项目不接受联合体</w:t>
            </w:r>
            <w:r>
              <w:rPr>
                <w:rFonts w:hint="eastAsia" w:ascii="仿宋" w:hAnsi="仿宋" w:eastAsia="仿宋" w:cs="仿宋"/>
                <w:bCs/>
                <w:color w:val="auto"/>
                <w:sz w:val="24"/>
                <w:szCs w:val="24"/>
                <w:highlight w:val="none"/>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eastAsia="zh-CN"/>
              </w:rPr>
              <w:t>招标代理服务费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参照《招标代理服务收费管理暂行办法》（计价格〔2002〕1980号）规定，投标人在下表所列招标代理服务费收费费率基础上投报下浮率</w:t>
            </w:r>
          </w:p>
          <w:tbl>
            <w:tblPr>
              <w:tblStyle w:val="28"/>
              <w:tblW w:w="4999"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718"/>
              <w:gridCol w:w="1399"/>
              <w:gridCol w:w="1399"/>
              <w:gridCol w:w="14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jc w:val="center"/>
              </w:trPr>
              <w:tc>
                <w:tcPr>
                  <w:tcW w:w="1964"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中标金额（万元）</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货物招标</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服务招标</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964"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100以下</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jc w:val="center"/>
              </w:trPr>
              <w:tc>
                <w:tcPr>
                  <w:tcW w:w="1964"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100-500</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0.8%</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jc w:val="center"/>
              </w:trPr>
              <w:tc>
                <w:tcPr>
                  <w:tcW w:w="1964"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500-1000</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0.8%</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0.45%</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jc w:val="center"/>
              </w:trPr>
              <w:tc>
                <w:tcPr>
                  <w:tcW w:w="1964"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1000-5000</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0.5%</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0.25%</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964"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5000-10000</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0.25%</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0.1%</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964"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10000-100000</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0.05%</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0.05%</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jc w:val="center"/>
              </w:trPr>
              <w:tc>
                <w:tcPr>
                  <w:tcW w:w="1964"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1000000以上</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0.01%</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0.01%</w:t>
                  </w:r>
                </w:p>
              </w:tc>
              <w:tc>
                <w:tcPr>
                  <w:tcW w:w="1011" w:type="pct"/>
                  <w:noWrap w:val="0"/>
                  <w:vAlign w:val="center"/>
                </w:tcPr>
                <w:p>
                  <w:pPr>
                    <w:autoSpaceDE w:val="0"/>
                    <w:autoSpaceDN w:val="0"/>
                    <w:adjustRightInd w:val="0"/>
                    <w:spacing w:line="54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0.01%</w:t>
                  </w:r>
                </w:p>
              </w:tc>
            </w:tr>
          </w:tbl>
          <w:p>
            <w:pPr>
              <w:keepNext w:val="0"/>
              <w:keepLines w:val="0"/>
              <w:pageBreakBefore w:val="0"/>
              <w:widowControl/>
              <w:kinsoku/>
              <w:wordWrap/>
              <w:overflowPunct/>
              <w:topLinePunct w:val="0"/>
              <w:autoSpaceDE w:val="0"/>
              <w:autoSpaceDN w:val="0"/>
              <w:bidi w:val="0"/>
              <w:adjustRightInd w:val="0"/>
              <w:snapToGrid/>
              <w:spacing w:line="540" w:lineRule="exact"/>
              <w:textAlignment w:val="auto"/>
              <w:rPr>
                <w:rFonts w:hint="eastAsia" w:ascii="仿宋" w:hAnsi="仿宋" w:eastAsia="仿宋" w:cs="仿宋"/>
                <w:bCs/>
                <w:color w:val="auto"/>
                <w:sz w:val="24"/>
                <w:szCs w:val="24"/>
                <w:highlight w:val="none"/>
                <w:lang w:val="zh-CN"/>
              </w:rPr>
            </w:pPr>
            <w:r>
              <w:rPr>
                <w:rFonts w:hint="eastAsia" w:ascii="仿宋" w:hAnsi="仿宋" w:eastAsia="仿宋" w:cs="仿宋"/>
                <w:color w:val="auto"/>
                <w:kern w:val="2"/>
                <w:sz w:val="24"/>
                <w:szCs w:val="24"/>
                <w:highlight w:val="none"/>
                <w:lang w:val="en-US" w:eastAsia="zh-CN" w:bidi="ar-SA"/>
              </w:rPr>
              <w:t>本次招标代理机构服务费询比采购控制价为投标下浮率不低于20%，按照百分比报价。</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23</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00</w:t>
            </w:r>
            <w:r>
              <w:rPr>
                <w:rFonts w:hint="eastAsia" w:ascii="仿宋" w:hAnsi="仿宋" w:eastAsia="仿宋" w:cs="仿宋"/>
                <w:bCs/>
                <w:color w:val="auto"/>
                <w:sz w:val="24"/>
                <w:szCs w:val="24"/>
                <w:highlight w:val="none"/>
                <w:lang w:val="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eastAsia="zh-CN"/>
              </w:rPr>
              <w:t>许昌市建安大道东段财政综合大楼816房间许昌市城投发展集团有限公司</w:t>
            </w:r>
            <w:r>
              <w:rPr>
                <w:rFonts w:hint="eastAsia" w:ascii="仿宋" w:hAnsi="仿宋" w:eastAsia="仿宋" w:cs="仿宋"/>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shd w:val="clear" w:color="050000" w:fill="auto"/>
                <w:lang w:val="en-US" w:eastAsia="zh-CN"/>
              </w:rPr>
              <w:t>询比采购</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中标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w:t>
            </w:r>
            <w:r>
              <w:rPr>
                <w:rFonts w:hint="eastAsia" w:ascii="仿宋" w:hAnsi="仿宋" w:eastAsia="仿宋" w:cs="仿宋"/>
                <w:sz w:val="24"/>
                <w:szCs w:val="24"/>
                <w:highlight w:val="none"/>
              </w:rPr>
              <w:t>变更（更正）公告等相关信息同时在以下网站发布：</w:t>
            </w:r>
            <w:r>
              <w:rPr>
                <w:rFonts w:hint="eastAsia" w:ascii="仿宋" w:hAnsi="仿宋" w:eastAsia="仿宋" w:cs="仿宋"/>
                <w:color w:val="auto"/>
                <w:sz w:val="24"/>
                <w:szCs w:val="24"/>
                <w:highlight w:val="none"/>
                <w:shd w:val="clear" w:color="050000" w:fill="auto"/>
                <w:lang w:val="en-US" w:eastAsia="zh-CN"/>
              </w:rPr>
              <w:t>网</w:t>
            </w:r>
            <w:r>
              <w:rPr>
                <w:rFonts w:hint="eastAsia" w:ascii="仿宋" w:hAnsi="仿宋" w:eastAsia="仿宋" w:cs="仿宋"/>
                <w:color w:val="auto"/>
                <w:sz w:val="24"/>
                <w:szCs w:val="24"/>
                <w:highlight w:val="none"/>
                <w:shd w:val="clear" w:color="050000" w:fill="auto"/>
                <w:lang w:eastAsia="zh-CN"/>
              </w:rPr>
              <w:t>站地址：www.xcsct.cn</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纸质投标文件：纸质版投标文件正本1份（需胶装）</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□电子投标文件：无要求</w:t>
            </w:r>
          </w:p>
          <w:p>
            <w:pPr>
              <w:autoSpaceDE w:val="0"/>
              <w:autoSpaceDN w:val="0"/>
              <w:adjustRightInd w:val="0"/>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
                <w:bCs/>
                <w:color w:val="auto"/>
                <w:sz w:val="24"/>
                <w:szCs w:val="24"/>
                <w:highlight w:val="none"/>
                <w:lang w:val="zh-CN"/>
              </w:rPr>
              <w:t>☑</w:t>
            </w:r>
            <w:r>
              <w:rPr>
                <w:rFonts w:hint="eastAsia" w:ascii="仿宋" w:hAnsi="仿宋" w:eastAsia="仿宋" w:cs="仿宋"/>
                <w:bCs/>
                <w:color w:val="auto"/>
                <w:sz w:val="24"/>
                <w:szCs w:val="24"/>
                <w:highlight w:val="none"/>
                <w:lang w:val="zh-CN"/>
              </w:rPr>
              <w:t>纸质版投标文件：按询比采购</w:t>
            </w:r>
            <w:r>
              <w:rPr>
                <w:rFonts w:hint="eastAsia" w:ascii="仿宋" w:hAnsi="仿宋" w:eastAsia="仿宋" w:cs="仿宋"/>
                <w:bCs/>
                <w:color w:val="auto"/>
                <w:sz w:val="24"/>
                <w:szCs w:val="24"/>
                <w:highlight w:val="none"/>
                <w:lang w:val="en-US" w:eastAsia="zh-CN"/>
              </w:rPr>
              <w:t>文件</w:t>
            </w:r>
            <w:r>
              <w:rPr>
                <w:rFonts w:hint="eastAsia" w:ascii="仿宋" w:hAnsi="仿宋" w:eastAsia="仿宋" w:cs="仿宋"/>
                <w:bCs/>
                <w:color w:val="auto"/>
                <w:sz w:val="24"/>
                <w:szCs w:val="24"/>
                <w:highlight w:val="none"/>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kern w:val="2"/>
                <w:sz w:val="24"/>
                <w:szCs w:val="24"/>
                <w:highlight w:val="none"/>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highlight w:val="none"/>
                <w:shd w:val="clear" w:color="050000" w:fill="auto"/>
                <w:lang w:val="en-US" w:eastAsia="zh-CN"/>
              </w:rPr>
            </w:pPr>
            <w:r>
              <w:rPr>
                <w:rFonts w:hint="eastAsia" w:ascii="仿宋" w:hAnsi="仿宋" w:eastAsia="仿宋" w:cs="仿宋"/>
                <w:sz w:val="24"/>
                <w:szCs w:val="24"/>
                <w:highlight w:val="none"/>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highlight w:val="none"/>
                <w:lang w:val="zh-CN"/>
              </w:rPr>
            </w:pPr>
            <w:r>
              <w:rPr>
                <w:rFonts w:hint="eastAsia" w:ascii="仿宋" w:hAnsi="仿宋" w:eastAsia="仿宋" w:cs="仿宋"/>
                <w:bCs/>
                <w:sz w:val="24"/>
                <w:szCs w:val="24"/>
                <w:highlight w:val="none"/>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潜在投标人如对询比采购文件有异议，请向询比采购人以书面形式在询比采购活动结束后7天内提出，逾期将不予受理。</w:t>
            </w:r>
          </w:p>
        </w:tc>
      </w:tr>
    </w:tbl>
    <w:p>
      <w:pP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eastAsia="zh-CN"/>
        </w:rPr>
        <w:t>评审小组对投标人资格进行检查。</w:t>
      </w:r>
      <w:r>
        <w:rPr>
          <w:rFonts w:hint="eastAsia" w:ascii="仿宋_GB2312" w:hAnsi="仿宋_GB2312" w:eastAsia="仿宋_GB2312" w:cs="仿宋_GB2312"/>
          <w:sz w:val="32"/>
          <w:szCs w:val="32"/>
          <w:highlight w:val="none"/>
          <w:lang w:val="zh-CN" w:eastAsia="zh-CN"/>
        </w:rPr>
        <w:t>确定符合资格的投标人不少于3家后对投标文件进行符合性审查。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zh-CN" w:eastAsia="zh-CN"/>
        </w:rPr>
        <w:t>注：</w:t>
      </w:r>
      <w:r>
        <w:rPr>
          <w:rFonts w:hint="eastAsia" w:ascii="仿宋_GB2312" w:hAnsi="仿宋_GB2312" w:eastAsia="仿宋_GB2312" w:cs="仿宋_GB2312"/>
          <w:sz w:val="32"/>
          <w:szCs w:val="32"/>
          <w:highlight w:val="none"/>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（2）资格审查中所涉及到的证书及材料，</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lang w:eastAsia="zh-CN"/>
        </w:rPr>
        <w:t>在投标文件中提供原件扫描件（或图片）</w:t>
      </w:r>
      <w:r>
        <w:rPr>
          <w:rFonts w:hint="eastAsia" w:ascii="仿宋_GB2312" w:hAnsi="仿宋_GB2312" w:eastAsia="仿宋_GB2312" w:cs="仿宋_GB2312"/>
          <w:sz w:val="32"/>
          <w:szCs w:val="32"/>
          <w:highlight w:val="none"/>
          <w:lang w:val="en-US" w:eastAsia="zh-CN"/>
        </w:rPr>
        <w:t>或复印件为准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（二）评分办法</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967"/>
        <w:gridCol w:w="478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评分项目</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分值</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评分标准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询比采购</w:t>
            </w:r>
            <w:r>
              <w:rPr>
                <w:rFonts w:hint="eastAsia" w:ascii="仿宋_GB2312" w:hAnsi="仿宋_GB2312" w:eastAsia="仿宋_GB2312" w:cs="仿宋_GB2312"/>
                <w:b/>
                <w:sz w:val="28"/>
                <w:szCs w:val="28"/>
                <w:highlight w:val="none"/>
              </w:rPr>
              <w:t>报价</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50分</w:t>
            </w:r>
          </w:p>
        </w:tc>
        <w:tc>
          <w:tcPr>
            <w:tcW w:w="2809" w:type="pct"/>
            <w:noWrap w:val="0"/>
            <w:vAlign w:val="center"/>
          </w:tcPr>
          <w:p>
            <w:pPr>
              <w:keepNext w:val="0"/>
              <w:keepLines w:val="0"/>
              <w:pageBreakBefore w:val="0"/>
              <w:widowControl/>
              <w:numPr>
                <w:ilvl w:val="0"/>
                <w:numId w:val="0"/>
              </w:numPr>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投标下浮率＜</w:t>
            </w:r>
            <w:r>
              <w:rPr>
                <w:rFonts w:hint="eastAsia" w:ascii="仿宋_GB2312" w:hAnsi="仿宋_GB2312" w:eastAsia="仿宋_GB2312" w:cs="仿宋_GB2312"/>
                <w:sz w:val="28"/>
                <w:szCs w:val="28"/>
                <w:highlight w:val="none"/>
                <w:lang w:val="en-US" w:eastAsia="zh-CN"/>
              </w:rPr>
              <w:t>20%为无效报价</w:t>
            </w:r>
            <w:r>
              <w:rPr>
                <w:rFonts w:hint="eastAsia" w:ascii="仿宋_GB2312" w:hAnsi="仿宋_GB2312" w:eastAsia="仿宋_GB2312" w:cs="仿宋_GB2312"/>
                <w:sz w:val="28"/>
                <w:szCs w:val="28"/>
                <w:highlight w:val="none"/>
                <w:lang w:eastAsia="zh-CN"/>
              </w:rPr>
              <w:t>；</w:t>
            </w:r>
          </w:p>
          <w:p>
            <w:pPr>
              <w:keepNext w:val="0"/>
              <w:keepLines w:val="0"/>
              <w:pageBreakBefore w:val="0"/>
              <w:widowControl/>
              <w:numPr>
                <w:ilvl w:val="0"/>
                <w:numId w:val="0"/>
              </w:numPr>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2.投标下浮率最高（即下浮比例最大）的为基准价，其得分为满分50分；投标下浮率最低（即下浮比例最小）的得分为25分；</w:t>
            </w:r>
          </w:p>
          <w:p>
            <w:pPr>
              <w:keepNext w:val="0"/>
              <w:keepLines w:val="0"/>
              <w:pageBreakBefore w:val="0"/>
              <w:widowControl/>
              <w:numPr>
                <w:ilvl w:val="0"/>
                <w:numId w:val="0"/>
              </w:numPr>
              <w:tabs>
                <w:tab w:val="left" w:pos="622"/>
              </w:tabs>
              <w:kinsoku/>
              <w:wordWrap/>
              <w:overflowPunct/>
              <w:topLinePunct w:val="0"/>
              <w:autoSpaceDE/>
              <w:autoSpaceDN/>
              <w:bidi w:val="0"/>
              <w:adjustRightInd/>
              <w:snapToGrid/>
              <w:spacing w:line="440" w:lineRule="exact"/>
              <w:jc w:val="left"/>
              <w:textAlignment w:val="auto"/>
              <w:rPr>
                <w:rFonts w:hint="eastAsia"/>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投标</w:t>
            </w:r>
            <w:r>
              <w:rPr>
                <w:rFonts w:hint="eastAsia" w:ascii="仿宋_GB2312" w:hAnsi="仿宋_GB2312" w:eastAsia="仿宋_GB2312" w:cs="仿宋_GB2312"/>
                <w:sz w:val="28"/>
                <w:szCs w:val="28"/>
                <w:highlight w:val="none"/>
                <w:lang w:val="en-US" w:eastAsia="zh-CN"/>
              </w:rPr>
              <w:t>下浮率</w:t>
            </w:r>
            <w:r>
              <w:rPr>
                <w:rFonts w:hint="eastAsia" w:ascii="仿宋_GB2312" w:hAnsi="仿宋_GB2312" w:eastAsia="仿宋_GB2312" w:cs="仿宋_GB2312"/>
                <w:sz w:val="28"/>
                <w:szCs w:val="28"/>
                <w:highlight w:val="none"/>
                <w:lang w:eastAsia="zh-CN"/>
              </w:rPr>
              <w:t xml:space="preserve">得分= </w:t>
            </w: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b/>
                <w:bCs/>
                <w:i w:val="0"/>
                <w:iCs w:val="0"/>
                <w:color w:val="auto"/>
                <w:sz w:val="28"/>
                <w:szCs w:val="28"/>
                <w:highlight w:val="none"/>
                <w:lang w:val="en-US" w:eastAsia="zh-CN"/>
              </w:rPr>
              <w:t>×</w:t>
            </w:r>
          </w:p>
          <w:p>
            <w:pPr>
              <w:keepNext w:val="0"/>
              <w:keepLines w:val="0"/>
              <w:pageBreakBefore w:val="0"/>
              <w:widowControl/>
              <w:numPr>
                <w:ilvl w:val="0"/>
                <w:numId w:val="0"/>
              </w:numPr>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i w:val="0"/>
                <w:iCs w:val="0"/>
                <w:color w:val="auto"/>
                <w:sz w:val="28"/>
                <w:szCs w:val="28"/>
                <w:highlight w:val="none"/>
                <w:lang w:val="en-US" w:eastAsia="zh-CN"/>
              </w:rPr>
            </w:pPr>
            <w:r>
              <w:rPr>
                <w:sz w:val="28"/>
                <w:szCs w:val="28"/>
                <w:highlight w:val="none"/>
              </w:rPr>
              <w:drawing>
                <wp:anchor distT="0" distB="0" distL="114300" distR="114300" simplePos="0" relativeHeight="251659264" behindDoc="1" locked="0" layoutInCell="1" allowOverlap="1">
                  <wp:simplePos x="0" y="0"/>
                  <wp:positionH relativeFrom="column">
                    <wp:posOffset>35560</wp:posOffset>
                  </wp:positionH>
                  <wp:positionV relativeFrom="paragraph">
                    <wp:posOffset>117475</wp:posOffset>
                  </wp:positionV>
                  <wp:extent cx="2051050" cy="609600"/>
                  <wp:effectExtent l="0" t="0" r="6350" b="0"/>
                  <wp:wrapTight wrapText="bothSides">
                    <wp:wrapPolygon>
                      <wp:start x="0" y="0"/>
                      <wp:lineTo x="0" y="21150"/>
                      <wp:lineTo x="21533" y="21150"/>
                      <wp:lineTo x="2153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051050" cy="609600"/>
                          </a:xfrm>
                          <a:prstGeom prst="rect">
                            <a:avLst/>
                          </a:prstGeom>
                          <a:noFill/>
                          <a:ln>
                            <a:noFill/>
                          </a:ln>
                        </pic:spPr>
                      </pic:pic>
                    </a:graphicData>
                  </a:graphic>
                </wp:anchor>
              </w:drawing>
            </w:r>
          </w:p>
          <w:p>
            <w:pPr>
              <w:keepNext w:val="0"/>
              <w:keepLines w:val="0"/>
              <w:pageBreakBefore w:val="0"/>
              <w:widowControl/>
              <w:numPr>
                <w:ilvl w:val="0"/>
                <w:numId w:val="0"/>
              </w:numPr>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lang w:val="en-US" w:eastAsia="zh-CN"/>
              </w:rPr>
              <w:t>+25</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000000"/>
                <w:kern w:val="0"/>
                <w:sz w:val="28"/>
                <w:szCs w:val="28"/>
                <w:highlight w:val="none"/>
                <w:lang w:bidi="ar"/>
              </w:rPr>
            </w:pPr>
            <w:r>
              <w:rPr>
                <w:rFonts w:hint="eastAsia" w:ascii="仿宋_GB2312" w:hAnsi="仿宋_GB2312" w:eastAsia="仿宋_GB2312" w:cs="仿宋_GB2312"/>
                <w:b/>
                <w:sz w:val="28"/>
                <w:szCs w:val="28"/>
                <w:highlight w:val="none"/>
                <w:lang w:val="en-US" w:eastAsia="zh-CN"/>
              </w:rPr>
              <w:t>招标代理服务团队人员</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rPr>
              <w:t>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招标代理服务团队成员每有1人得5分，最高20分。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color w:val="000000"/>
                <w:kern w:val="0"/>
                <w:sz w:val="28"/>
                <w:szCs w:val="28"/>
                <w:highlight w:val="none"/>
                <w:lang w:bidi="ar"/>
              </w:rPr>
              <w:t>服务方案</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提供招标代理服务方案的得</w:t>
            </w:r>
            <w:r>
              <w:rPr>
                <w:rFonts w:hint="eastAsia" w:ascii="仿宋_GB2312" w:hAnsi="仿宋_GB2312" w:eastAsia="仿宋_GB2312" w:cs="仿宋_GB2312"/>
                <w:sz w:val="28"/>
                <w:szCs w:val="28"/>
                <w:highlight w:val="none"/>
                <w:lang w:val="en-US" w:eastAsia="zh-CN"/>
              </w:rPr>
              <w:t>15分，没有不得分。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000000"/>
                <w:kern w:val="0"/>
                <w:sz w:val="28"/>
                <w:szCs w:val="28"/>
                <w:highlight w:val="none"/>
                <w:lang w:eastAsia="zh-CN" w:bidi="ar"/>
              </w:rPr>
            </w:pPr>
            <w:r>
              <w:rPr>
                <w:rFonts w:hint="eastAsia" w:ascii="仿宋_GB2312" w:hAnsi="仿宋_GB2312" w:eastAsia="仿宋_GB2312" w:cs="仿宋_GB2312"/>
                <w:b/>
                <w:color w:val="000000"/>
                <w:kern w:val="0"/>
                <w:sz w:val="28"/>
                <w:szCs w:val="28"/>
                <w:highlight w:val="none"/>
                <w:lang w:eastAsia="zh-CN" w:bidi="ar"/>
              </w:rPr>
              <w:t>招标代理服务业绩</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eastAsia="zh-CN"/>
              </w:rPr>
              <w:t>同类业务招标代理业绩相关证明材料</w:t>
            </w:r>
            <w:r>
              <w:rPr>
                <w:rFonts w:hint="eastAsia" w:ascii="仿宋_GB2312" w:hAnsi="仿宋_GB2312" w:eastAsia="仿宋_GB2312" w:cs="仿宋_GB2312"/>
                <w:sz w:val="28"/>
                <w:szCs w:val="28"/>
                <w:highlight w:val="none"/>
                <w:lang w:eastAsia="zh-CN"/>
              </w:rPr>
              <w:t>每提供一项得</w:t>
            </w:r>
            <w:r>
              <w:rPr>
                <w:rFonts w:hint="eastAsia" w:ascii="仿宋_GB2312" w:hAnsi="仿宋_GB2312" w:eastAsia="仿宋_GB2312" w:cs="仿宋_GB2312"/>
                <w:sz w:val="28"/>
                <w:szCs w:val="28"/>
                <w:highlight w:val="none"/>
                <w:lang w:val="en-US" w:eastAsia="zh-CN"/>
              </w:rPr>
              <w:t>5分，最高15分。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合计</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100分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（四）推荐</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评审小组应当根据综合评分情况，按照评审得分由高到低顺序推荐</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highlight w:val="none"/>
          <w:lang w:val="en-US" w:eastAsia="zh-CN"/>
        </w:rPr>
        <w:t>询比采购</w:t>
      </w:r>
      <w:r>
        <w:rPr>
          <w:rFonts w:hint="eastAsia" w:ascii="仿宋_GB2312" w:hAnsi="仿宋_GB2312" w:eastAsia="仿宋_GB2312" w:cs="仿宋_GB2312"/>
          <w:sz w:val="32"/>
          <w:szCs w:val="32"/>
          <w:highlight w:val="none"/>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highlight w:val="none"/>
          <w:shd w:val="clear" w:color="050000" w:fill="auto"/>
        </w:rPr>
      </w:pPr>
      <w:r>
        <w:rPr>
          <w:rFonts w:hint="eastAsia" w:ascii="仿宋" w:hAnsi="仿宋" w:eastAsia="仿宋" w:cs="仿宋"/>
          <w:b/>
          <w:bCs/>
          <w:color w:val="auto"/>
          <w:sz w:val="40"/>
          <w:szCs w:val="40"/>
          <w:highlight w:val="none"/>
          <w:shd w:val="clear" w:color="050000" w:fill="auto"/>
        </w:rPr>
        <w:br w:type="page"/>
      </w:r>
    </w:p>
    <w:p>
      <w:pPr>
        <w:pStyle w:val="19"/>
        <w:rPr>
          <w:rFonts w:hint="eastAsia" w:ascii="仿宋" w:hAnsi="仿宋" w:eastAsia="仿宋" w:cs="仿宋"/>
          <w:b/>
          <w:bCs/>
          <w:color w:val="auto"/>
          <w:sz w:val="40"/>
          <w:szCs w:val="40"/>
          <w:highlight w:val="none"/>
          <w:shd w:val="clear" w:color="050000" w:fill="auto"/>
        </w:rPr>
      </w:pPr>
    </w:p>
    <w:p>
      <w:pPr>
        <w:spacing w:line="360" w:lineRule="auto"/>
        <w:jc w:val="center"/>
        <w:rPr>
          <w:rFonts w:hint="eastAsia" w:ascii="仿宋" w:hAnsi="仿宋" w:eastAsia="仿宋" w:cs="仿宋"/>
          <w:b/>
          <w:color w:val="auto"/>
          <w:sz w:val="40"/>
          <w:szCs w:val="40"/>
          <w:highlight w:val="none"/>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第五章 投标文件有关格式</w:t>
      </w:r>
    </w:p>
    <w:p>
      <w:pPr>
        <w:spacing w:line="700" w:lineRule="auto"/>
        <w:ind w:firstLine="551"/>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（如涉及本项目的提供）</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bookmarkStart w:id="6" w:name="_Toc186274126"/>
      <w:bookmarkStart w:id="7" w:name="_Toc184023138"/>
      <w:bookmarkStart w:id="8" w:name="_Toc174185203"/>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许昌市城投发展集团有限公司</w:t>
      </w:r>
    </w:p>
    <w:p>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val="en-US" w:eastAsia="zh-CN"/>
        </w:rPr>
        <w:t>2023年</w:t>
      </w:r>
      <w:r>
        <w:rPr>
          <w:rFonts w:hint="eastAsia" w:ascii="方正小标宋简体" w:hAnsi="方正小标宋简体" w:eastAsia="方正小标宋简体" w:cs="方正小标宋简体"/>
          <w:b w:val="0"/>
          <w:bCs w:val="0"/>
          <w:sz w:val="44"/>
          <w:szCs w:val="44"/>
          <w:highlight w:val="none"/>
          <w:lang w:eastAsia="zh-CN"/>
        </w:rPr>
        <w:t>非公开发行公司债券主承销商招标</w:t>
      </w:r>
    </w:p>
    <w:p>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项目招标代理机构服务询比采购项目</w:t>
      </w:r>
    </w:p>
    <w:p>
      <w:pPr>
        <w:jc w:val="center"/>
        <w:rPr>
          <w:rFonts w:hint="eastAsia" w:ascii="仿宋" w:hAnsi="仿宋" w:eastAsia="仿宋" w:cs="仿宋"/>
          <w:b/>
          <w:color w:val="auto"/>
          <w:spacing w:val="60"/>
          <w:sz w:val="28"/>
          <w:szCs w:val="28"/>
          <w:highlight w:val="none"/>
          <w:shd w:val="clear" w:color="060000" w:fill="auto"/>
          <w:lang w:eastAsia="zh-CN"/>
        </w:rPr>
      </w:pPr>
      <w:r>
        <w:rPr>
          <w:rFonts w:hint="eastAsia" w:ascii="仿宋" w:hAnsi="仿宋" w:eastAsia="仿宋" w:cs="仿宋"/>
          <w:b/>
          <w:color w:val="auto"/>
          <w:spacing w:val="60"/>
          <w:sz w:val="28"/>
          <w:szCs w:val="28"/>
          <w:highlight w:val="none"/>
          <w:shd w:val="clear" w:color="060000" w:fill="auto"/>
          <w:lang w:eastAsia="zh-CN"/>
        </w:rPr>
        <w:t>（</w:t>
      </w:r>
      <w:r>
        <w:rPr>
          <w:rFonts w:hint="eastAsia" w:ascii="仿宋" w:hAnsi="仿宋" w:eastAsia="仿宋" w:cs="仿宋"/>
          <w:b/>
          <w:color w:val="auto"/>
          <w:spacing w:val="60"/>
          <w:sz w:val="28"/>
          <w:szCs w:val="28"/>
          <w:highlight w:val="none"/>
          <w:shd w:val="clear" w:color="060000" w:fill="auto"/>
          <w:lang w:val="en-US" w:eastAsia="zh-CN"/>
        </w:rPr>
        <w:t>项目编号：RZB-2023004号</w:t>
      </w:r>
      <w:r>
        <w:rPr>
          <w:rFonts w:hint="eastAsia" w:ascii="仿宋" w:hAnsi="仿宋" w:eastAsia="仿宋" w:cs="仿宋"/>
          <w:b/>
          <w:color w:val="auto"/>
          <w:spacing w:val="60"/>
          <w:sz w:val="28"/>
          <w:szCs w:val="28"/>
          <w:highlight w:val="none"/>
          <w:shd w:val="clear" w:color="060000" w:fill="auto"/>
          <w:lang w:eastAsia="zh-CN"/>
        </w:rPr>
        <w:t>）</w:t>
      </w: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投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pStyle w:val="2"/>
        <w:numPr>
          <w:ilvl w:val="1"/>
          <w:numId w:val="0"/>
        </w:numPr>
        <w:rPr>
          <w:rFonts w:hint="eastAsia" w:ascii="仿宋" w:hAnsi="仿宋" w:eastAsia="仿宋" w:cs="仿宋"/>
          <w:sz w:val="32"/>
          <w:szCs w:val="32"/>
          <w:highlight w:val="none"/>
        </w:rPr>
      </w:pPr>
    </w:p>
    <w:p>
      <w:pPr>
        <w:spacing w:line="360" w:lineRule="auto"/>
        <w:jc w:val="both"/>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投标人名称</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（盖单位章）</w:t>
      </w:r>
    </w:p>
    <w:p>
      <w:pPr>
        <w:spacing w:line="360" w:lineRule="auto"/>
        <w:jc w:val="center"/>
        <w:rPr>
          <w:rFonts w:hint="eastAsia" w:ascii="仿宋" w:hAnsi="仿宋" w:eastAsia="仿宋" w:cs="仿宋"/>
          <w:color w:val="auto"/>
          <w:sz w:val="36"/>
          <w:szCs w:val="36"/>
          <w:highlight w:val="none"/>
          <w:u w:val="none"/>
          <w:shd w:val="clear" w:color="050000" w:fill="auto"/>
          <w:lang w:val="en-US" w:eastAsia="zh-CN"/>
        </w:rPr>
      </w:pPr>
      <w:r>
        <w:rPr>
          <w:rFonts w:hint="eastAsia" w:ascii="仿宋" w:hAnsi="仿宋" w:eastAsia="仿宋" w:cs="仿宋"/>
          <w:b/>
          <w:color w:val="auto"/>
          <w:sz w:val="36"/>
          <w:szCs w:val="36"/>
          <w:highlight w:val="none"/>
          <w:shd w:val="clear" w:color="060000" w:fill="auto"/>
          <w:lang w:val="en-US" w:eastAsia="zh-CN"/>
        </w:rPr>
        <w:t>投标日期：</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年</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月</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日</w:t>
      </w: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一、投标人应答索引表</w:t>
      </w:r>
      <w:bookmarkEnd w:id="6"/>
      <w:bookmarkEnd w:id="7"/>
      <w:bookmarkEnd w:id="8"/>
    </w:p>
    <w:tbl>
      <w:tblPr>
        <w:tblStyle w:val="28"/>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0"/>
        <w:gridCol w:w="3860"/>
        <w:gridCol w:w="1400"/>
        <w:gridCol w:w="1331"/>
        <w:gridCol w:w="1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87"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2264"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821"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781"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744"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2264" w:type="pct"/>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2264" w:type="pct"/>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营业执照等（招标代理资质证明材料）</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招标代理服务方案</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同类业务招标代理业绩相关证明材料</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387" w:type="pct"/>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2264" w:type="pct"/>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0"/>
        <w:rPr>
          <w:rFonts w:hint="eastAsia"/>
          <w:highlight w:val="none"/>
        </w:rPr>
      </w:pPr>
    </w:p>
    <w:p>
      <w:pPr>
        <w:rPr>
          <w:rFonts w:hint="eastAsia"/>
          <w:highlight w:val="none"/>
        </w:rPr>
      </w:pPr>
      <w:r>
        <w:rPr>
          <w:rFonts w:hint="eastAsia" w:ascii="仿宋" w:hAnsi="仿宋" w:eastAsia="仿宋" w:cs="仿宋"/>
          <w:color w:val="auto"/>
          <w:sz w:val="24"/>
          <w:szCs w:val="24"/>
          <w:highlight w:val="none"/>
        </w:rPr>
        <w:br w:type="page"/>
      </w:r>
    </w:p>
    <w:p>
      <w:pPr>
        <w:pStyle w:val="14"/>
        <w:spacing w:line="360" w:lineRule="auto"/>
        <w:jc w:val="center"/>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二、</w:t>
      </w:r>
      <w:r>
        <w:rPr>
          <w:rFonts w:hint="eastAsia" w:ascii="仿宋" w:hAnsi="仿宋" w:eastAsia="仿宋" w:cs="仿宋"/>
          <w:b/>
          <w:snapToGrid w:val="0"/>
          <w:color w:val="auto"/>
          <w:kern w:val="0"/>
          <w:sz w:val="36"/>
          <w:szCs w:val="36"/>
          <w:highlight w:val="none"/>
          <w:lang w:val="en-US" w:eastAsia="zh-CN"/>
        </w:rPr>
        <w:t>报价单</w:t>
      </w:r>
    </w:p>
    <w:p>
      <w:pPr>
        <w:pStyle w:val="14"/>
        <w:spacing w:line="360" w:lineRule="auto"/>
        <w:jc w:val="center"/>
        <w:rPr>
          <w:rFonts w:hint="eastAsia" w:ascii="仿宋" w:hAnsi="仿宋" w:eastAsia="仿宋" w:cs="仿宋"/>
          <w:b/>
          <w:snapToGrid w:val="0"/>
          <w:color w:val="auto"/>
          <w:kern w:val="0"/>
          <w:sz w:val="24"/>
          <w:szCs w:val="24"/>
          <w:highlight w:val="none"/>
        </w:rPr>
      </w:pPr>
    </w:p>
    <w:p>
      <w:pPr>
        <w:spacing w:before="50" w:afterLines="50" w:line="360" w:lineRule="auto"/>
        <w:contextualSpacing/>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RZB-2023004号</w:t>
      </w:r>
    </w:p>
    <w:p>
      <w:pPr>
        <w:bidi w:val="0"/>
        <w:rPr>
          <w:rFonts w:hint="eastAsia" w:ascii="仿宋_GB2312" w:hAnsi="仿宋_GB2312" w:eastAsia="仿宋_GB2312" w:cs="仿宋_GB2312"/>
          <w:sz w:val="24"/>
          <w:szCs w:val="22"/>
          <w:highlight w:val="none"/>
          <w:lang w:val="en-US" w:eastAsia="zh-CN"/>
        </w:rPr>
      </w:pPr>
      <w:r>
        <w:rPr>
          <w:rFonts w:hint="eastAsia" w:ascii="仿宋" w:hAnsi="仿宋" w:eastAsia="仿宋" w:cs="仿宋"/>
          <w:color w:val="auto"/>
          <w:sz w:val="24"/>
          <w:szCs w:val="32"/>
          <w:highlight w:val="none"/>
        </w:rPr>
        <w:t>项目名称：</w:t>
      </w:r>
      <w:r>
        <w:rPr>
          <w:rFonts w:hint="eastAsia" w:ascii="仿宋" w:hAnsi="仿宋" w:eastAsia="仿宋" w:cs="仿宋"/>
          <w:color w:val="auto"/>
          <w:sz w:val="24"/>
          <w:szCs w:val="32"/>
          <w:highlight w:val="none"/>
          <w:lang w:val="en-US" w:eastAsia="zh-CN"/>
        </w:rPr>
        <w:t>许昌市城投发展集团有限公司2023年非公开发行公司债券主承销商招标项目招标代理机构服务询比采购项目</w:t>
      </w:r>
    </w:p>
    <w:tbl>
      <w:tblPr>
        <w:tblStyle w:val="28"/>
        <w:tblW w:w="0" w:type="auto"/>
        <w:tblInd w:w="0" w:type="dxa"/>
        <w:tblLayout w:type="autofit"/>
        <w:tblCellMar>
          <w:top w:w="0" w:type="dxa"/>
          <w:left w:w="108" w:type="dxa"/>
          <w:bottom w:w="0" w:type="dxa"/>
          <w:right w:w="108" w:type="dxa"/>
        </w:tblCellMar>
      </w:tblPr>
      <w:tblGrid>
        <w:gridCol w:w="837"/>
        <w:gridCol w:w="3521"/>
        <w:gridCol w:w="2811"/>
        <w:gridCol w:w="1353"/>
      </w:tblGrid>
      <w:tr>
        <w:tblPrEx>
          <w:tblCellMar>
            <w:top w:w="0" w:type="dxa"/>
            <w:left w:w="108" w:type="dxa"/>
            <w:bottom w:w="0" w:type="dxa"/>
            <w:right w:w="108" w:type="dxa"/>
          </w:tblCellMar>
        </w:tblPrEx>
        <w:trPr>
          <w:trHeight w:val="851" w:hRule="atLeast"/>
        </w:trPr>
        <w:tc>
          <w:tcPr>
            <w:tcW w:w="837"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352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281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投标下浮率报价</w:t>
            </w:r>
          </w:p>
        </w:tc>
        <w:tc>
          <w:tcPr>
            <w:tcW w:w="13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2961" w:hRule="atLeast"/>
        </w:trPr>
        <w:tc>
          <w:tcPr>
            <w:tcW w:w="8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352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spacing w:line="42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32"/>
                <w:highlight w:val="none"/>
                <w:lang w:val="en-US" w:eastAsia="zh-CN"/>
              </w:rPr>
              <w:t>许昌市城投发展集团有限公司2023年非公开发行公司债券主承销商招标项目招标代理机构服务询比采购项目</w:t>
            </w:r>
          </w:p>
        </w:tc>
        <w:tc>
          <w:tcPr>
            <w:tcW w:w="28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13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投标下浮率不低于20%，下浮率为百分比。</w:t>
      </w:r>
    </w:p>
    <w:p>
      <w:pPr>
        <w:rPr>
          <w:rFonts w:hint="eastAsia"/>
          <w:highlight w:val="none"/>
          <w:lang w:val="zh-CN"/>
        </w:rPr>
      </w:pPr>
      <w:r>
        <w:rPr>
          <w:rFonts w:hint="eastAsia" w:ascii="仿宋" w:hAnsi="仿宋" w:eastAsia="仿宋" w:cs="仿宋"/>
          <w:color w:val="auto"/>
          <w:sz w:val="24"/>
          <w:szCs w:val="24"/>
          <w:highlight w:val="none"/>
          <w:lang w:val="zh-CN"/>
        </w:rPr>
        <w:br w:type="page"/>
      </w:r>
    </w:p>
    <w:p>
      <w:pPr>
        <w:pStyle w:val="14"/>
        <w:spacing w:line="360" w:lineRule="auto"/>
        <w:jc w:val="center"/>
        <w:rPr>
          <w:rFonts w:hint="eastAsia" w:ascii="仿宋" w:hAnsi="仿宋" w:eastAsia="仿宋" w:cs="仿宋"/>
          <w:b/>
          <w:snapToGrid w:val="0"/>
          <w:color w:val="auto"/>
          <w:kern w:val="0"/>
          <w:sz w:val="36"/>
          <w:szCs w:val="36"/>
          <w:highlight w:val="none"/>
          <w:lang w:val="en-US" w:eastAsia="zh-CN"/>
        </w:rPr>
      </w:pPr>
      <w:r>
        <w:rPr>
          <w:rFonts w:hint="eastAsia" w:ascii="仿宋" w:hAnsi="仿宋" w:eastAsia="仿宋" w:cs="仿宋"/>
          <w:b/>
          <w:snapToGrid w:val="0"/>
          <w:color w:val="auto"/>
          <w:kern w:val="0"/>
          <w:sz w:val="36"/>
          <w:szCs w:val="36"/>
          <w:highlight w:val="none"/>
          <w:lang w:val="en-US" w:eastAsia="zh-CN"/>
        </w:rPr>
        <w:t>三、投标人基本情况简介（可根据实际情况自行编写）</w:t>
      </w:r>
    </w:p>
    <w:p>
      <w:pPr>
        <w:pStyle w:val="26"/>
        <w:rPr>
          <w:rFonts w:hint="eastAsia" w:ascii="仿宋" w:hAnsi="仿宋" w:eastAsia="仿宋" w:cs="仿宋"/>
          <w:color w:val="auto"/>
          <w:sz w:val="24"/>
          <w:szCs w:val="24"/>
          <w:highlight w:val="none"/>
          <w:lang w:val="zh-CN"/>
        </w:rPr>
      </w:pPr>
    </w:p>
    <w:p>
      <w:pPr>
        <w:spacing w:line="480" w:lineRule="exact"/>
        <w:jc w:val="center"/>
        <w:rPr>
          <w:rFonts w:hint="eastAsia" w:ascii="仿宋" w:hAnsi="仿宋" w:eastAsia="仿宋" w:cs="仿宋"/>
          <w:b/>
          <w:bCs/>
          <w:color w:val="auto"/>
          <w:sz w:val="24"/>
          <w:szCs w:val="24"/>
          <w:highlight w:val="none"/>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r>
        <w:rPr>
          <w:rFonts w:hint="eastAsia" w:ascii="仿宋" w:hAnsi="仿宋" w:eastAsia="仿宋" w:cs="仿宋"/>
          <w:b/>
          <w:snapToGrid w:val="0"/>
          <w:color w:val="auto"/>
          <w:kern w:val="0"/>
          <w:sz w:val="36"/>
          <w:szCs w:val="36"/>
          <w:highlight w:val="none"/>
          <w:lang w:eastAsia="zh-CN"/>
        </w:rPr>
        <w:t>四、资格审查文件</w:t>
      </w:r>
    </w:p>
    <w:p>
      <w:pPr>
        <w:jc w:val="left"/>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lang w:val="en-US" w:eastAsia="zh-CN"/>
        </w:rPr>
      </w:pPr>
    </w:p>
    <w:p>
      <w:pPr>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4.1  附营业执照等（招标代理资质证明材料）</w:t>
      </w:r>
    </w:p>
    <w:p>
      <w:pPr>
        <w:jc w:val="left"/>
        <w:rPr>
          <w:rFonts w:hint="eastAsia" w:ascii="仿宋" w:hAnsi="仿宋" w:eastAsia="仿宋" w:cs="仿宋"/>
          <w:b/>
          <w:bCs/>
          <w:color w:val="auto"/>
          <w:sz w:val="32"/>
          <w:szCs w:val="32"/>
          <w:highlight w:val="none"/>
        </w:rPr>
      </w:pPr>
    </w:p>
    <w:p>
      <w:pPr>
        <w:jc w:val="center"/>
        <w:rPr>
          <w:rFonts w:hint="eastAsia" w:ascii="仿宋" w:hAnsi="仿宋" w:eastAsia="仿宋" w:cs="仿宋"/>
          <w:b/>
          <w:bCs/>
          <w:color w:val="auto"/>
          <w:sz w:val="32"/>
          <w:szCs w:val="32"/>
          <w:highlight w:val="none"/>
          <w:lang w:val="en-US" w:eastAsia="zh-CN"/>
        </w:rPr>
      </w:pPr>
    </w:p>
    <w:p>
      <w:pPr>
        <w:jc w:val="center"/>
        <w:rPr>
          <w:rFonts w:hint="eastAsia" w:ascii="仿宋" w:hAnsi="仿宋" w:eastAsia="仿宋" w:cs="仿宋"/>
          <w:b/>
          <w:bCs/>
          <w:color w:val="auto"/>
          <w:sz w:val="32"/>
          <w:szCs w:val="32"/>
          <w:highlight w:val="none"/>
          <w:lang w:val="en-US" w:eastAsia="zh-CN"/>
        </w:rPr>
      </w:pPr>
    </w:p>
    <w:p>
      <w:pPr>
        <w:rPr>
          <w:rFonts w:hint="eastAsia"/>
          <w:sz w:val="32"/>
          <w:szCs w:val="32"/>
          <w:highlight w:val="none"/>
        </w:rPr>
      </w:pPr>
    </w:p>
    <w:p>
      <w:pPr>
        <w:jc w:val="left"/>
        <w:rPr>
          <w:rFonts w:hint="eastAsia" w:ascii="仿宋" w:hAnsi="仿宋" w:eastAsia="仿宋" w:cs="仿宋"/>
          <w:b/>
          <w:bCs/>
          <w:color w:val="auto"/>
          <w:sz w:val="32"/>
          <w:szCs w:val="32"/>
          <w:highlight w:val="none"/>
        </w:rPr>
      </w:pPr>
    </w:p>
    <w:p>
      <w:pPr>
        <w:jc w:val="left"/>
        <w:rPr>
          <w:rFonts w:hint="eastAsia" w:ascii="仿宋" w:hAnsi="仿宋" w:eastAsia="仿宋" w:cs="仿宋"/>
          <w:b/>
          <w:bCs/>
          <w:color w:val="auto"/>
          <w:sz w:val="32"/>
          <w:szCs w:val="32"/>
          <w:highlight w:val="none"/>
        </w:rPr>
      </w:pPr>
    </w:p>
    <w:p>
      <w:pPr>
        <w:jc w:val="left"/>
        <w:rPr>
          <w:rFonts w:hint="eastAsia" w:ascii="仿宋" w:hAnsi="仿宋" w:eastAsia="仿宋" w:cs="仿宋"/>
          <w:b/>
          <w:bCs/>
          <w:color w:val="auto"/>
          <w:sz w:val="32"/>
          <w:szCs w:val="32"/>
          <w:highlight w:val="none"/>
        </w:rPr>
      </w:pPr>
    </w:p>
    <w:p>
      <w:pPr>
        <w:rPr>
          <w:rFonts w:hint="eastAsia"/>
          <w:highlight w:val="none"/>
        </w:rPr>
      </w:pPr>
    </w:p>
    <w:p>
      <w:pPr>
        <w:pStyle w:val="2"/>
        <w:numPr>
          <w:ilvl w:val="1"/>
          <w:numId w:val="0"/>
        </w:numPr>
        <w:rPr>
          <w:rFonts w:hint="eastAsia"/>
          <w:highlight w:val="none"/>
        </w:rPr>
      </w:pPr>
    </w:p>
    <w:p>
      <w:pPr>
        <w:jc w:val="left"/>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4.2投标人信用承诺函</w:t>
      </w:r>
    </w:p>
    <w:p>
      <w:pPr>
        <w:autoSpaceDE w:val="0"/>
        <w:autoSpaceDN w:val="0"/>
        <w:adjustRightInd w:val="0"/>
        <w:spacing w:line="360" w:lineRule="auto"/>
        <w:jc w:val="center"/>
        <w:rPr>
          <w:rFonts w:hint="eastAsia" w:ascii="仿宋" w:hAnsi="仿宋" w:eastAsia="仿宋" w:cs="仿宋"/>
          <w:b/>
          <w:bCs/>
          <w:sz w:val="24"/>
          <w:szCs w:val="24"/>
          <w:highlight w:val="none"/>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致</w:t>
      </w:r>
      <w:r>
        <w:rPr>
          <w:rFonts w:hint="eastAsia" w:ascii="仿宋" w:hAnsi="仿宋" w:eastAsia="仿宋" w:cs="仿宋"/>
          <w:color w:val="000000"/>
          <w:kern w:val="0"/>
          <w:sz w:val="28"/>
          <w:szCs w:val="28"/>
          <w:highlight w:val="none"/>
          <w:u w:val="single"/>
          <w:lang w:val="en-US" w:eastAsia="zh-CN" w:bidi="ar"/>
        </w:rPr>
        <w:t>许昌市城投发展集团有限公司</w:t>
      </w:r>
      <w:r>
        <w:rPr>
          <w:rFonts w:hint="eastAsia" w:ascii="仿宋" w:hAnsi="仿宋" w:eastAsia="仿宋" w:cs="仿宋"/>
          <w:color w:val="000000"/>
          <w:kern w:val="0"/>
          <w:sz w:val="28"/>
          <w:szCs w:val="28"/>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单位名称: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统一社会信用代码（身份证号码）: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法定代表人（负责人）: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联系地址和电话：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一、我单位自愿参加本次询比采购活动，严格遵守相关法律法规，依法诚信经营，无条件遵守本次询比采购活动的各项规定，我单位（本人）郑重承诺，我单位符合《中华人民共和国政府采购法》第二十二条规定、《中华人民共和国招标投标法》第十三条和第三十七条第三款规定、询比采购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（四）符合法律、行政法规规定的其他条件。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eastAsia" w:ascii="仿宋" w:hAnsi="仿宋" w:eastAsia="仿宋" w:cs="仿宋"/>
          <w:b/>
          <w:bCs/>
          <w:color w:val="000000"/>
          <w:kern w:val="0"/>
          <w:sz w:val="28"/>
          <w:szCs w:val="28"/>
          <w:highlight w:val="none"/>
          <w:lang w:val="en-US" w:eastAsia="zh-CN" w:bidi="ar"/>
        </w:rPr>
        <w:t>两年内禁止参加许昌市城投发展集团有限公司及其子公司的所有招标（询比采购）活动</w:t>
      </w:r>
      <w:r>
        <w:rPr>
          <w:rFonts w:hint="eastAsia" w:ascii="仿宋" w:hAnsi="仿宋" w:eastAsia="仿宋" w:cs="仿宋"/>
          <w:color w:val="000000"/>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highlight w:val="none"/>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highlight w:val="none"/>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2"/>
        <w:numPr>
          <w:ilvl w:val="1"/>
          <w:numId w:val="0"/>
        </w:numPr>
        <w:rPr>
          <w:rFonts w:hint="eastAsia"/>
          <w:highlight w:val="none"/>
          <w:lang w:val="zh-CN"/>
        </w:rPr>
      </w:pPr>
    </w:p>
    <w:p>
      <w:pPr>
        <w:pStyle w:val="14"/>
        <w:spacing w:line="360" w:lineRule="auto"/>
        <w:jc w:val="both"/>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en-US" w:eastAsia="zh-CN"/>
        </w:rPr>
      </w:pPr>
      <w:r>
        <w:rPr>
          <w:rFonts w:hint="eastAsia" w:ascii="仿宋" w:hAnsi="仿宋" w:eastAsia="仿宋" w:cs="仿宋"/>
          <w:b/>
          <w:snapToGrid w:val="0"/>
          <w:color w:val="auto"/>
          <w:kern w:val="0"/>
          <w:sz w:val="36"/>
          <w:szCs w:val="36"/>
          <w:highlight w:val="none"/>
          <w:lang w:val="zh-CN" w:eastAsia="zh-CN"/>
        </w:rPr>
        <w:t>五、</w:t>
      </w:r>
      <w:r>
        <w:rPr>
          <w:rFonts w:hint="eastAsia" w:ascii="仿宋" w:hAnsi="仿宋" w:eastAsia="仿宋" w:cs="仿宋"/>
          <w:b/>
          <w:snapToGrid w:val="0"/>
          <w:color w:val="auto"/>
          <w:kern w:val="0"/>
          <w:sz w:val="36"/>
          <w:szCs w:val="36"/>
          <w:highlight w:val="none"/>
          <w:lang w:val="en-US" w:eastAsia="zh-CN"/>
        </w:rPr>
        <w:t>评分相关文件</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（投标人自行编制，需附项目团队人员招标代理资格证明文件）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5.2招标代理服务方案</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5.3同类业务招标代理业绩相关证明材料</w:t>
      </w:r>
    </w:p>
    <w:p>
      <w:pPr>
        <w:pStyle w:val="14"/>
        <w:spacing w:line="360" w:lineRule="auto"/>
        <w:jc w:val="center"/>
        <w:rPr>
          <w:rFonts w:hint="default"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both"/>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六、其他资料（若有）</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r>
        <w:rPr>
          <w:rFonts w:hint="eastAsia" w:ascii="仿宋" w:hAnsi="仿宋" w:eastAsia="仿宋" w:cs="仿宋"/>
          <w:b/>
          <w:color w:val="auto"/>
          <w:sz w:val="36"/>
          <w:szCs w:val="36"/>
          <w:highlight w:val="none"/>
          <w:shd w:val="clear" w:color="060000" w:fill="auto"/>
          <w:lang w:eastAsia="zh-CN"/>
        </w:rPr>
        <w:t>注：投标文件首页加盖公章，并加盖骑缝章。</w:t>
      </w:r>
    </w:p>
    <w:sectPr>
      <w:footerReference r:id="rId5"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C1DB1DDC"/>
    <w:multiLevelType w:val="singleLevel"/>
    <w:tmpl w:val="C1DB1DDC"/>
    <w:lvl w:ilvl="0" w:tentative="0">
      <w:start w:val="1"/>
      <w:numFmt w:val="chineseCounting"/>
      <w:suff w:val="nothing"/>
      <w:lvlText w:val="%1、"/>
      <w:lvlJc w:val="left"/>
      <w:rPr>
        <w:rFonts w:hint="eastAsia"/>
      </w:rPr>
    </w:lvl>
  </w:abstractNum>
  <w:abstractNum w:abstractNumId="2">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4">
    <w:nsid w:val="59F817E8"/>
    <w:multiLevelType w:val="singleLevel"/>
    <w:tmpl w:val="59F817E8"/>
    <w:lvl w:ilvl="0" w:tentative="0">
      <w:start w:val="1"/>
      <w:numFmt w:val="chineseCounting"/>
      <w:pStyle w:val="52"/>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WM0OTIyMzExZmVkMzMyZjMyYTIxYTE5YmVhNmY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1E35"/>
    <w:rsid w:val="006454DF"/>
    <w:rsid w:val="006D5DF1"/>
    <w:rsid w:val="006D6508"/>
    <w:rsid w:val="00715AA0"/>
    <w:rsid w:val="00735D7F"/>
    <w:rsid w:val="00770DE1"/>
    <w:rsid w:val="007E63DB"/>
    <w:rsid w:val="008741EF"/>
    <w:rsid w:val="00874C28"/>
    <w:rsid w:val="00893649"/>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F3955"/>
    <w:rsid w:val="010C0502"/>
    <w:rsid w:val="015A0EEF"/>
    <w:rsid w:val="01944054"/>
    <w:rsid w:val="019B2BEF"/>
    <w:rsid w:val="01A754AC"/>
    <w:rsid w:val="01BD7A4F"/>
    <w:rsid w:val="01F42D45"/>
    <w:rsid w:val="022234BA"/>
    <w:rsid w:val="02326E3B"/>
    <w:rsid w:val="02553FCA"/>
    <w:rsid w:val="02FB57F1"/>
    <w:rsid w:val="0308368E"/>
    <w:rsid w:val="031E6F4C"/>
    <w:rsid w:val="03FD2384"/>
    <w:rsid w:val="03FE312B"/>
    <w:rsid w:val="048E7480"/>
    <w:rsid w:val="04992949"/>
    <w:rsid w:val="04AE0156"/>
    <w:rsid w:val="053334A3"/>
    <w:rsid w:val="058F525E"/>
    <w:rsid w:val="059861B2"/>
    <w:rsid w:val="05FB5A9A"/>
    <w:rsid w:val="05FC1EA1"/>
    <w:rsid w:val="06124783"/>
    <w:rsid w:val="06551615"/>
    <w:rsid w:val="06B91756"/>
    <w:rsid w:val="06E14AFA"/>
    <w:rsid w:val="073267E9"/>
    <w:rsid w:val="076745CB"/>
    <w:rsid w:val="07726C54"/>
    <w:rsid w:val="07862691"/>
    <w:rsid w:val="07A40A90"/>
    <w:rsid w:val="07CF39A8"/>
    <w:rsid w:val="07EE6482"/>
    <w:rsid w:val="07F36299"/>
    <w:rsid w:val="080000C0"/>
    <w:rsid w:val="0840235A"/>
    <w:rsid w:val="08B20716"/>
    <w:rsid w:val="08CB210B"/>
    <w:rsid w:val="08DA591A"/>
    <w:rsid w:val="08F5760F"/>
    <w:rsid w:val="09092C22"/>
    <w:rsid w:val="09110F69"/>
    <w:rsid w:val="093C74AB"/>
    <w:rsid w:val="094B62C2"/>
    <w:rsid w:val="09FD7499"/>
    <w:rsid w:val="0A0107ED"/>
    <w:rsid w:val="0A0F77E2"/>
    <w:rsid w:val="0A1741F1"/>
    <w:rsid w:val="0A4C1970"/>
    <w:rsid w:val="0A873F23"/>
    <w:rsid w:val="0B1F3CE3"/>
    <w:rsid w:val="0B261B53"/>
    <w:rsid w:val="0B367E19"/>
    <w:rsid w:val="0B8D0851"/>
    <w:rsid w:val="0BA61308"/>
    <w:rsid w:val="0BC62C8C"/>
    <w:rsid w:val="0BCF6E3B"/>
    <w:rsid w:val="0BF4439B"/>
    <w:rsid w:val="0BFF607D"/>
    <w:rsid w:val="0C2D568A"/>
    <w:rsid w:val="0C394176"/>
    <w:rsid w:val="0C6B181D"/>
    <w:rsid w:val="0C85421C"/>
    <w:rsid w:val="0CB969F2"/>
    <w:rsid w:val="0CE30634"/>
    <w:rsid w:val="0CEF0CD8"/>
    <w:rsid w:val="0D5D0460"/>
    <w:rsid w:val="0D6D6787"/>
    <w:rsid w:val="0D7D0092"/>
    <w:rsid w:val="0D8E229F"/>
    <w:rsid w:val="0DB205B8"/>
    <w:rsid w:val="0DE60F97"/>
    <w:rsid w:val="0E59677C"/>
    <w:rsid w:val="0E5C05EF"/>
    <w:rsid w:val="0F1A576B"/>
    <w:rsid w:val="0F29227F"/>
    <w:rsid w:val="0F3C1993"/>
    <w:rsid w:val="0F3F5ECC"/>
    <w:rsid w:val="0F5B5841"/>
    <w:rsid w:val="0F8C6010"/>
    <w:rsid w:val="0FF1616E"/>
    <w:rsid w:val="106A54DC"/>
    <w:rsid w:val="10B93643"/>
    <w:rsid w:val="10BC2049"/>
    <w:rsid w:val="10BD6274"/>
    <w:rsid w:val="10C77C97"/>
    <w:rsid w:val="10DB5A15"/>
    <w:rsid w:val="113E7AD2"/>
    <w:rsid w:val="114B450A"/>
    <w:rsid w:val="115715E8"/>
    <w:rsid w:val="116D470F"/>
    <w:rsid w:val="11702FA8"/>
    <w:rsid w:val="11845B85"/>
    <w:rsid w:val="118E0DF0"/>
    <w:rsid w:val="119C2C60"/>
    <w:rsid w:val="119F4A7B"/>
    <w:rsid w:val="11B251A7"/>
    <w:rsid w:val="11C56917"/>
    <w:rsid w:val="11EC4489"/>
    <w:rsid w:val="11FA4BEA"/>
    <w:rsid w:val="12127FED"/>
    <w:rsid w:val="121466FB"/>
    <w:rsid w:val="12691FF2"/>
    <w:rsid w:val="12724E69"/>
    <w:rsid w:val="12B652F8"/>
    <w:rsid w:val="12B75B24"/>
    <w:rsid w:val="12DB5F87"/>
    <w:rsid w:val="12F26B7A"/>
    <w:rsid w:val="132964DD"/>
    <w:rsid w:val="132B7CA2"/>
    <w:rsid w:val="134273A6"/>
    <w:rsid w:val="134D2675"/>
    <w:rsid w:val="138959E3"/>
    <w:rsid w:val="13AC347F"/>
    <w:rsid w:val="14260297"/>
    <w:rsid w:val="1461426A"/>
    <w:rsid w:val="14B9009A"/>
    <w:rsid w:val="14C13DF5"/>
    <w:rsid w:val="14DD52B7"/>
    <w:rsid w:val="1568300C"/>
    <w:rsid w:val="1578154F"/>
    <w:rsid w:val="15B61D16"/>
    <w:rsid w:val="15D370F1"/>
    <w:rsid w:val="15DC5FD5"/>
    <w:rsid w:val="16311C5B"/>
    <w:rsid w:val="16634A5A"/>
    <w:rsid w:val="16797AE5"/>
    <w:rsid w:val="168D490F"/>
    <w:rsid w:val="169B0083"/>
    <w:rsid w:val="16A23764"/>
    <w:rsid w:val="16D47B5C"/>
    <w:rsid w:val="16F6268C"/>
    <w:rsid w:val="16FC471D"/>
    <w:rsid w:val="172054F7"/>
    <w:rsid w:val="17294B3E"/>
    <w:rsid w:val="17317322"/>
    <w:rsid w:val="1765168D"/>
    <w:rsid w:val="1776002C"/>
    <w:rsid w:val="17AB5D47"/>
    <w:rsid w:val="17FC0062"/>
    <w:rsid w:val="18185587"/>
    <w:rsid w:val="184B4CB4"/>
    <w:rsid w:val="185022E7"/>
    <w:rsid w:val="19141836"/>
    <w:rsid w:val="191B509A"/>
    <w:rsid w:val="19C26506"/>
    <w:rsid w:val="19CF5DED"/>
    <w:rsid w:val="19D0095E"/>
    <w:rsid w:val="19D13793"/>
    <w:rsid w:val="1A5359A6"/>
    <w:rsid w:val="1A943AF7"/>
    <w:rsid w:val="1AF8344E"/>
    <w:rsid w:val="1BA57132"/>
    <w:rsid w:val="1BB548EA"/>
    <w:rsid w:val="1C1B1EB3"/>
    <w:rsid w:val="1C64690B"/>
    <w:rsid w:val="1CC601F8"/>
    <w:rsid w:val="1CE0656D"/>
    <w:rsid w:val="1D5303E2"/>
    <w:rsid w:val="1DA925DA"/>
    <w:rsid w:val="1DB961F1"/>
    <w:rsid w:val="1DE85A76"/>
    <w:rsid w:val="1E03326D"/>
    <w:rsid w:val="1E4470D6"/>
    <w:rsid w:val="1E700A63"/>
    <w:rsid w:val="1E8F2A30"/>
    <w:rsid w:val="1EA41285"/>
    <w:rsid w:val="1ED94129"/>
    <w:rsid w:val="1EFF4E05"/>
    <w:rsid w:val="1F0749CA"/>
    <w:rsid w:val="1F314CE2"/>
    <w:rsid w:val="1F4304FF"/>
    <w:rsid w:val="1F54299E"/>
    <w:rsid w:val="1F667C26"/>
    <w:rsid w:val="1F6A30F2"/>
    <w:rsid w:val="1F7E79DE"/>
    <w:rsid w:val="1F867702"/>
    <w:rsid w:val="1F892C3A"/>
    <w:rsid w:val="1F9574BD"/>
    <w:rsid w:val="1F9A4AD4"/>
    <w:rsid w:val="1FA27D3A"/>
    <w:rsid w:val="201008A9"/>
    <w:rsid w:val="20136519"/>
    <w:rsid w:val="20820C14"/>
    <w:rsid w:val="20AA62CB"/>
    <w:rsid w:val="20B00A53"/>
    <w:rsid w:val="20F247D3"/>
    <w:rsid w:val="215B337E"/>
    <w:rsid w:val="217B07D6"/>
    <w:rsid w:val="21856A93"/>
    <w:rsid w:val="218712BD"/>
    <w:rsid w:val="218D2ED7"/>
    <w:rsid w:val="21A2432F"/>
    <w:rsid w:val="21D00C81"/>
    <w:rsid w:val="220254EF"/>
    <w:rsid w:val="231A0D78"/>
    <w:rsid w:val="231B23CF"/>
    <w:rsid w:val="23A81EB5"/>
    <w:rsid w:val="23B100DE"/>
    <w:rsid w:val="23B6787C"/>
    <w:rsid w:val="23E21E1B"/>
    <w:rsid w:val="243125A8"/>
    <w:rsid w:val="24657AC4"/>
    <w:rsid w:val="24882976"/>
    <w:rsid w:val="24B97FD8"/>
    <w:rsid w:val="251578C4"/>
    <w:rsid w:val="251D442F"/>
    <w:rsid w:val="25662132"/>
    <w:rsid w:val="25866263"/>
    <w:rsid w:val="258F065A"/>
    <w:rsid w:val="25A71CF8"/>
    <w:rsid w:val="25EA6412"/>
    <w:rsid w:val="262923F6"/>
    <w:rsid w:val="2677273A"/>
    <w:rsid w:val="26840989"/>
    <w:rsid w:val="26CB0360"/>
    <w:rsid w:val="26D97E99"/>
    <w:rsid w:val="271146E5"/>
    <w:rsid w:val="271907E2"/>
    <w:rsid w:val="27295DF1"/>
    <w:rsid w:val="27604855"/>
    <w:rsid w:val="279D482F"/>
    <w:rsid w:val="27C645BC"/>
    <w:rsid w:val="27CA2623"/>
    <w:rsid w:val="27CD64A0"/>
    <w:rsid w:val="27EC4921"/>
    <w:rsid w:val="282A6442"/>
    <w:rsid w:val="28326AA6"/>
    <w:rsid w:val="288874B8"/>
    <w:rsid w:val="28A41075"/>
    <w:rsid w:val="28A62101"/>
    <w:rsid w:val="28A7322C"/>
    <w:rsid w:val="28A90122"/>
    <w:rsid w:val="28AD1416"/>
    <w:rsid w:val="28FA35CB"/>
    <w:rsid w:val="291A53C6"/>
    <w:rsid w:val="292D4147"/>
    <w:rsid w:val="29695641"/>
    <w:rsid w:val="29D46E34"/>
    <w:rsid w:val="29EA3339"/>
    <w:rsid w:val="29F660A7"/>
    <w:rsid w:val="2A0E114D"/>
    <w:rsid w:val="2A1B5CDA"/>
    <w:rsid w:val="2A327707"/>
    <w:rsid w:val="2A7423E6"/>
    <w:rsid w:val="2AE97D0D"/>
    <w:rsid w:val="2B12230A"/>
    <w:rsid w:val="2B1C0D4E"/>
    <w:rsid w:val="2B256FD1"/>
    <w:rsid w:val="2C212804"/>
    <w:rsid w:val="2C695F59"/>
    <w:rsid w:val="2CE0006A"/>
    <w:rsid w:val="2CE46E4B"/>
    <w:rsid w:val="2CFE05A2"/>
    <w:rsid w:val="2D0637A8"/>
    <w:rsid w:val="2D306F2B"/>
    <w:rsid w:val="2DB15E8A"/>
    <w:rsid w:val="2DCE0BC4"/>
    <w:rsid w:val="2DCE1EBA"/>
    <w:rsid w:val="2E1D524D"/>
    <w:rsid w:val="2E2E1209"/>
    <w:rsid w:val="2E5F5866"/>
    <w:rsid w:val="2EA75CC0"/>
    <w:rsid w:val="2ECB4055"/>
    <w:rsid w:val="2ED85DFF"/>
    <w:rsid w:val="2EF7784D"/>
    <w:rsid w:val="2F185D21"/>
    <w:rsid w:val="2F63028D"/>
    <w:rsid w:val="2F715551"/>
    <w:rsid w:val="2F7716E9"/>
    <w:rsid w:val="2FB07FE7"/>
    <w:rsid w:val="2FD14C2F"/>
    <w:rsid w:val="300050A6"/>
    <w:rsid w:val="301D6429"/>
    <w:rsid w:val="30415FA8"/>
    <w:rsid w:val="308A44ED"/>
    <w:rsid w:val="309B5C9D"/>
    <w:rsid w:val="30A27C8C"/>
    <w:rsid w:val="30AE55C4"/>
    <w:rsid w:val="30FD4260"/>
    <w:rsid w:val="310821E5"/>
    <w:rsid w:val="31273A38"/>
    <w:rsid w:val="31500CAA"/>
    <w:rsid w:val="31576CC8"/>
    <w:rsid w:val="318A60B5"/>
    <w:rsid w:val="31A75185"/>
    <w:rsid w:val="31E42322"/>
    <w:rsid w:val="31F97998"/>
    <w:rsid w:val="32093536"/>
    <w:rsid w:val="32143CFA"/>
    <w:rsid w:val="326D294D"/>
    <w:rsid w:val="32770033"/>
    <w:rsid w:val="32A912AB"/>
    <w:rsid w:val="32AB643B"/>
    <w:rsid w:val="32B37F2E"/>
    <w:rsid w:val="32EB1476"/>
    <w:rsid w:val="32FD4C9D"/>
    <w:rsid w:val="3307064A"/>
    <w:rsid w:val="333C6176"/>
    <w:rsid w:val="33680739"/>
    <w:rsid w:val="33896EE1"/>
    <w:rsid w:val="33DF56D7"/>
    <w:rsid w:val="342A6A66"/>
    <w:rsid w:val="346C0259"/>
    <w:rsid w:val="349B6359"/>
    <w:rsid w:val="34A56DAE"/>
    <w:rsid w:val="35234AC0"/>
    <w:rsid w:val="354B6EE5"/>
    <w:rsid w:val="356E638F"/>
    <w:rsid w:val="35B53E09"/>
    <w:rsid w:val="35C91753"/>
    <w:rsid w:val="35F76384"/>
    <w:rsid w:val="36005E25"/>
    <w:rsid w:val="360D1CB0"/>
    <w:rsid w:val="36300FF3"/>
    <w:rsid w:val="36771BA1"/>
    <w:rsid w:val="368E76EE"/>
    <w:rsid w:val="36AF3103"/>
    <w:rsid w:val="36BA2093"/>
    <w:rsid w:val="36C726DC"/>
    <w:rsid w:val="36DF6E83"/>
    <w:rsid w:val="36F8714B"/>
    <w:rsid w:val="373C3AAF"/>
    <w:rsid w:val="3757121F"/>
    <w:rsid w:val="3768578B"/>
    <w:rsid w:val="37B962F4"/>
    <w:rsid w:val="37E40B8A"/>
    <w:rsid w:val="380729ED"/>
    <w:rsid w:val="381E7EEB"/>
    <w:rsid w:val="381F1BC2"/>
    <w:rsid w:val="38406CB4"/>
    <w:rsid w:val="39123EA1"/>
    <w:rsid w:val="39343BEA"/>
    <w:rsid w:val="398C6488"/>
    <w:rsid w:val="39922270"/>
    <w:rsid w:val="39954300"/>
    <w:rsid w:val="39A1385A"/>
    <w:rsid w:val="39BA3CAC"/>
    <w:rsid w:val="39F01641"/>
    <w:rsid w:val="3A537A35"/>
    <w:rsid w:val="3A5E4C24"/>
    <w:rsid w:val="3A8A06D2"/>
    <w:rsid w:val="3AAD7959"/>
    <w:rsid w:val="3AFE3AA8"/>
    <w:rsid w:val="3B2D72D8"/>
    <w:rsid w:val="3B58781C"/>
    <w:rsid w:val="3B603FB5"/>
    <w:rsid w:val="3B9C1EA7"/>
    <w:rsid w:val="3BDA477E"/>
    <w:rsid w:val="3C074F53"/>
    <w:rsid w:val="3C1063F2"/>
    <w:rsid w:val="3C3F1C5A"/>
    <w:rsid w:val="3C434DC6"/>
    <w:rsid w:val="3C5250C0"/>
    <w:rsid w:val="3C605616"/>
    <w:rsid w:val="3CAF1767"/>
    <w:rsid w:val="3CCA47F2"/>
    <w:rsid w:val="3D307460"/>
    <w:rsid w:val="3D336A22"/>
    <w:rsid w:val="3D815A91"/>
    <w:rsid w:val="3D935590"/>
    <w:rsid w:val="3E0B0C1F"/>
    <w:rsid w:val="3E3A0462"/>
    <w:rsid w:val="3E467EA9"/>
    <w:rsid w:val="3E7D40EF"/>
    <w:rsid w:val="3EB4066C"/>
    <w:rsid w:val="3EDF1821"/>
    <w:rsid w:val="3EE326EF"/>
    <w:rsid w:val="3F051FBF"/>
    <w:rsid w:val="3F4643A3"/>
    <w:rsid w:val="3F5D36FC"/>
    <w:rsid w:val="3F7C3208"/>
    <w:rsid w:val="3FAB3EFB"/>
    <w:rsid w:val="3FC76DC7"/>
    <w:rsid w:val="3FFD02C3"/>
    <w:rsid w:val="40387CC5"/>
    <w:rsid w:val="408E2A02"/>
    <w:rsid w:val="40EB7C06"/>
    <w:rsid w:val="40F34CBE"/>
    <w:rsid w:val="40FB0C4A"/>
    <w:rsid w:val="411B580C"/>
    <w:rsid w:val="4140157C"/>
    <w:rsid w:val="41720FB5"/>
    <w:rsid w:val="41B66084"/>
    <w:rsid w:val="41E850E1"/>
    <w:rsid w:val="42876CE2"/>
    <w:rsid w:val="428E4701"/>
    <w:rsid w:val="42D36040"/>
    <w:rsid w:val="42F869F2"/>
    <w:rsid w:val="43AD6589"/>
    <w:rsid w:val="44681252"/>
    <w:rsid w:val="449974E9"/>
    <w:rsid w:val="44B813D4"/>
    <w:rsid w:val="44F70EBD"/>
    <w:rsid w:val="4507013A"/>
    <w:rsid w:val="455C1937"/>
    <w:rsid w:val="456652D4"/>
    <w:rsid w:val="458F7E0C"/>
    <w:rsid w:val="45A056B7"/>
    <w:rsid w:val="46047F8E"/>
    <w:rsid w:val="461A28EF"/>
    <w:rsid w:val="466A72CE"/>
    <w:rsid w:val="467D3578"/>
    <w:rsid w:val="46975DF4"/>
    <w:rsid w:val="46D110ED"/>
    <w:rsid w:val="46D775D5"/>
    <w:rsid w:val="472B0583"/>
    <w:rsid w:val="4766461F"/>
    <w:rsid w:val="477766D9"/>
    <w:rsid w:val="477C40B7"/>
    <w:rsid w:val="47977DAD"/>
    <w:rsid w:val="48066BEC"/>
    <w:rsid w:val="48575D8F"/>
    <w:rsid w:val="48693111"/>
    <w:rsid w:val="489565B3"/>
    <w:rsid w:val="48AD4E73"/>
    <w:rsid w:val="48B337FF"/>
    <w:rsid w:val="48C77E38"/>
    <w:rsid w:val="48EB7FCA"/>
    <w:rsid w:val="49247038"/>
    <w:rsid w:val="49316F70"/>
    <w:rsid w:val="49347C3B"/>
    <w:rsid w:val="493936A4"/>
    <w:rsid w:val="494B70D5"/>
    <w:rsid w:val="49AB32B1"/>
    <w:rsid w:val="49B02E7D"/>
    <w:rsid w:val="49B02FC2"/>
    <w:rsid w:val="49B31F01"/>
    <w:rsid w:val="49BB4089"/>
    <w:rsid w:val="49C97DEE"/>
    <w:rsid w:val="4A1A2C2A"/>
    <w:rsid w:val="4A433A00"/>
    <w:rsid w:val="4A6F0787"/>
    <w:rsid w:val="4A886551"/>
    <w:rsid w:val="4A914D76"/>
    <w:rsid w:val="4AAD1308"/>
    <w:rsid w:val="4B58746D"/>
    <w:rsid w:val="4B6D0130"/>
    <w:rsid w:val="4B926BE7"/>
    <w:rsid w:val="4BDD7BA7"/>
    <w:rsid w:val="4CF07A69"/>
    <w:rsid w:val="4D14761E"/>
    <w:rsid w:val="4D5266C3"/>
    <w:rsid w:val="4D714816"/>
    <w:rsid w:val="4D8D33B6"/>
    <w:rsid w:val="4D8F7EA0"/>
    <w:rsid w:val="4DA70238"/>
    <w:rsid w:val="4DAD1CF2"/>
    <w:rsid w:val="4DC64B62"/>
    <w:rsid w:val="4DE312D8"/>
    <w:rsid w:val="4DF94F37"/>
    <w:rsid w:val="4E3E6DEE"/>
    <w:rsid w:val="4E915170"/>
    <w:rsid w:val="4F1815D8"/>
    <w:rsid w:val="4F253B0A"/>
    <w:rsid w:val="4F8E16AF"/>
    <w:rsid w:val="4FA17635"/>
    <w:rsid w:val="503F15BF"/>
    <w:rsid w:val="509E2D2F"/>
    <w:rsid w:val="516701F0"/>
    <w:rsid w:val="51994ECA"/>
    <w:rsid w:val="52154F6C"/>
    <w:rsid w:val="52846D9A"/>
    <w:rsid w:val="52CB2081"/>
    <w:rsid w:val="52EA504C"/>
    <w:rsid w:val="52EF06B7"/>
    <w:rsid w:val="53091D0F"/>
    <w:rsid w:val="536F5C64"/>
    <w:rsid w:val="5373420A"/>
    <w:rsid w:val="53B11E10"/>
    <w:rsid w:val="53B31FFA"/>
    <w:rsid w:val="53D578AD"/>
    <w:rsid w:val="543F11CA"/>
    <w:rsid w:val="548A1422"/>
    <w:rsid w:val="54EF04CB"/>
    <w:rsid w:val="5543596A"/>
    <w:rsid w:val="554C53C5"/>
    <w:rsid w:val="559F537E"/>
    <w:rsid w:val="55E5390A"/>
    <w:rsid w:val="560D34CE"/>
    <w:rsid w:val="568E6439"/>
    <w:rsid w:val="56D737F9"/>
    <w:rsid w:val="56E218A8"/>
    <w:rsid w:val="57932A23"/>
    <w:rsid w:val="57CF05B8"/>
    <w:rsid w:val="57E722A5"/>
    <w:rsid w:val="5812683D"/>
    <w:rsid w:val="581770D7"/>
    <w:rsid w:val="58374347"/>
    <w:rsid w:val="58457CD0"/>
    <w:rsid w:val="585711A2"/>
    <w:rsid w:val="58C92183"/>
    <w:rsid w:val="59277154"/>
    <w:rsid w:val="593A20E1"/>
    <w:rsid w:val="59771406"/>
    <w:rsid w:val="59971F26"/>
    <w:rsid w:val="59B212B6"/>
    <w:rsid w:val="59E446EB"/>
    <w:rsid w:val="5A0606CA"/>
    <w:rsid w:val="5A0614BF"/>
    <w:rsid w:val="5A3B14EF"/>
    <w:rsid w:val="5AC74DF8"/>
    <w:rsid w:val="5AC95C92"/>
    <w:rsid w:val="5ADF17A9"/>
    <w:rsid w:val="5AED0D8F"/>
    <w:rsid w:val="5B0C41F8"/>
    <w:rsid w:val="5B123195"/>
    <w:rsid w:val="5B2630E4"/>
    <w:rsid w:val="5B751975"/>
    <w:rsid w:val="5BAD7C06"/>
    <w:rsid w:val="5C280A4D"/>
    <w:rsid w:val="5D236E89"/>
    <w:rsid w:val="5D4D5F01"/>
    <w:rsid w:val="5D645228"/>
    <w:rsid w:val="5D6515BE"/>
    <w:rsid w:val="5D7B5F87"/>
    <w:rsid w:val="5D870C6B"/>
    <w:rsid w:val="5E053ECD"/>
    <w:rsid w:val="5E4C4C10"/>
    <w:rsid w:val="5E7F0E92"/>
    <w:rsid w:val="5E922FD2"/>
    <w:rsid w:val="5EA80A59"/>
    <w:rsid w:val="5ECD7C67"/>
    <w:rsid w:val="5EEE216B"/>
    <w:rsid w:val="5F120CCD"/>
    <w:rsid w:val="5F4132BE"/>
    <w:rsid w:val="5F544D41"/>
    <w:rsid w:val="5F742670"/>
    <w:rsid w:val="5FF94530"/>
    <w:rsid w:val="600F2268"/>
    <w:rsid w:val="601B5081"/>
    <w:rsid w:val="6171137E"/>
    <w:rsid w:val="620F26F9"/>
    <w:rsid w:val="621D05DD"/>
    <w:rsid w:val="62D5473D"/>
    <w:rsid w:val="62EC69FA"/>
    <w:rsid w:val="6300246C"/>
    <w:rsid w:val="630C5CCA"/>
    <w:rsid w:val="634C56B2"/>
    <w:rsid w:val="6356208C"/>
    <w:rsid w:val="635E5215"/>
    <w:rsid w:val="63604CB9"/>
    <w:rsid w:val="638559B0"/>
    <w:rsid w:val="63C3663B"/>
    <w:rsid w:val="644D16E1"/>
    <w:rsid w:val="644F42C7"/>
    <w:rsid w:val="64D92503"/>
    <w:rsid w:val="654A5952"/>
    <w:rsid w:val="655A1441"/>
    <w:rsid w:val="655C559A"/>
    <w:rsid w:val="65A51206"/>
    <w:rsid w:val="65D26511"/>
    <w:rsid w:val="660E452A"/>
    <w:rsid w:val="66172B3B"/>
    <w:rsid w:val="664F5C5B"/>
    <w:rsid w:val="66717623"/>
    <w:rsid w:val="66890C0F"/>
    <w:rsid w:val="66923C28"/>
    <w:rsid w:val="669E0B12"/>
    <w:rsid w:val="66A00B1A"/>
    <w:rsid w:val="66CF2882"/>
    <w:rsid w:val="671F493B"/>
    <w:rsid w:val="6731663A"/>
    <w:rsid w:val="6771251F"/>
    <w:rsid w:val="678D0D6C"/>
    <w:rsid w:val="67912D2E"/>
    <w:rsid w:val="67CE5306"/>
    <w:rsid w:val="67E66902"/>
    <w:rsid w:val="68656D1C"/>
    <w:rsid w:val="688D02FE"/>
    <w:rsid w:val="68B8495E"/>
    <w:rsid w:val="68CD4B9F"/>
    <w:rsid w:val="69044CCB"/>
    <w:rsid w:val="695503E5"/>
    <w:rsid w:val="695E6E70"/>
    <w:rsid w:val="696F7727"/>
    <w:rsid w:val="69761B48"/>
    <w:rsid w:val="69826F10"/>
    <w:rsid w:val="6A291D77"/>
    <w:rsid w:val="6A294057"/>
    <w:rsid w:val="6A311144"/>
    <w:rsid w:val="6A826D0C"/>
    <w:rsid w:val="6AA95198"/>
    <w:rsid w:val="6AFE0FD5"/>
    <w:rsid w:val="6B363DC9"/>
    <w:rsid w:val="6B770B4F"/>
    <w:rsid w:val="6C1765A4"/>
    <w:rsid w:val="6C3F19FF"/>
    <w:rsid w:val="6C3F4EF1"/>
    <w:rsid w:val="6C520153"/>
    <w:rsid w:val="6C626DE2"/>
    <w:rsid w:val="6C67530A"/>
    <w:rsid w:val="6C735A5D"/>
    <w:rsid w:val="6CB542C8"/>
    <w:rsid w:val="6D2A1711"/>
    <w:rsid w:val="6D2C2012"/>
    <w:rsid w:val="6D465AD5"/>
    <w:rsid w:val="6D47061C"/>
    <w:rsid w:val="6DAC7479"/>
    <w:rsid w:val="6DEC498F"/>
    <w:rsid w:val="6E6733A0"/>
    <w:rsid w:val="6E753AC9"/>
    <w:rsid w:val="6EBE56B6"/>
    <w:rsid w:val="6F764825"/>
    <w:rsid w:val="6F7A5868"/>
    <w:rsid w:val="6F7E0BF8"/>
    <w:rsid w:val="6FC42292"/>
    <w:rsid w:val="6FE5761E"/>
    <w:rsid w:val="70241CE7"/>
    <w:rsid w:val="70A24B63"/>
    <w:rsid w:val="71212D63"/>
    <w:rsid w:val="71435060"/>
    <w:rsid w:val="71463740"/>
    <w:rsid w:val="71B804AF"/>
    <w:rsid w:val="71B91357"/>
    <w:rsid w:val="71B92164"/>
    <w:rsid w:val="71BD5126"/>
    <w:rsid w:val="71D04167"/>
    <w:rsid w:val="71E04DB2"/>
    <w:rsid w:val="72315F52"/>
    <w:rsid w:val="72380C91"/>
    <w:rsid w:val="72933FAE"/>
    <w:rsid w:val="72B55AFA"/>
    <w:rsid w:val="72F76F6E"/>
    <w:rsid w:val="72FC3A72"/>
    <w:rsid w:val="73036065"/>
    <w:rsid w:val="73194E17"/>
    <w:rsid w:val="73247AB1"/>
    <w:rsid w:val="73610D05"/>
    <w:rsid w:val="737E32EA"/>
    <w:rsid w:val="73FE6554"/>
    <w:rsid w:val="741C2FF0"/>
    <w:rsid w:val="74207BDF"/>
    <w:rsid w:val="743A788B"/>
    <w:rsid w:val="744A79EB"/>
    <w:rsid w:val="74704AA1"/>
    <w:rsid w:val="747D0312"/>
    <w:rsid w:val="74FF73E9"/>
    <w:rsid w:val="752A6035"/>
    <w:rsid w:val="757D656B"/>
    <w:rsid w:val="75A3300B"/>
    <w:rsid w:val="75CD4430"/>
    <w:rsid w:val="76105F0C"/>
    <w:rsid w:val="76176FE0"/>
    <w:rsid w:val="762E3465"/>
    <w:rsid w:val="76692FDA"/>
    <w:rsid w:val="766E7E14"/>
    <w:rsid w:val="76DE7C83"/>
    <w:rsid w:val="77065E4C"/>
    <w:rsid w:val="773735B1"/>
    <w:rsid w:val="774723A6"/>
    <w:rsid w:val="775943C5"/>
    <w:rsid w:val="775B68EA"/>
    <w:rsid w:val="775E077C"/>
    <w:rsid w:val="775F34D3"/>
    <w:rsid w:val="776668EA"/>
    <w:rsid w:val="77843214"/>
    <w:rsid w:val="779F71D5"/>
    <w:rsid w:val="77D25D2E"/>
    <w:rsid w:val="77EF2BD0"/>
    <w:rsid w:val="782B00BB"/>
    <w:rsid w:val="782C7998"/>
    <w:rsid w:val="783E35D1"/>
    <w:rsid w:val="78567579"/>
    <w:rsid w:val="7872538E"/>
    <w:rsid w:val="78793308"/>
    <w:rsid w:val="789F0530"/>
    <w:rsid w:val="78AF121B"/>
    <w:rsid w:val="78B402A3"/>
    <w:rsid w:val="78B50366"/>
    <w:rsid w:val="78DC4E9B"/>
    <w:rsid w:val="791D52BE"/>
    <w:rsid w:val="795F3706"/>
    <w:rsid w:val="7975290A"/>
    <w:rsid w:val="79B53B29"/>
    <w:rsid w:val="79CF4143"/>
    <w:rsid w:val="7A3400A3"/>
    <w:rsid w:val="7AA3348F"/>
    <w:rsid w:val="7AEA7832"/>
    <w:rsid w:val="7B086666"/>
    <w:rsid w:val="7B167964"/>
    <w:rsid w:val="7B4C229B"/>
    <w:rsid w:val="7B6A606C"/>
    <w:rsid w:val="7BBB74E5"/>
    <w:rsid w:val="7BD5390A"/>
    <w:rsid w:val="7C9937EB"/>
    <w:rsid w:val="7CE91AA1"/>
    <w:rsid w:val="7CFB256C"/>
    <w:rsid w:val="7D2A53A6"/>
    <w:rsid w:val="7D6774DC"/>
    <w:rsid w:val="7D92071E"/>
    <w:rsid w:val="7DA63EE4"/>
    <w:rsid w:val="7DF10ED8"/>
    <w:rsid w:val="7DFF5F32"/>
    <w:rsid w:val="7E2122B0"/>
    <w:rsid w:val="7E6522A8"/>
    <w:rsid w:val="7E667BD9"/>
    <w:rsid w:val="7EBB7543"/>
    <w:rsid w:val="7EC564AB"/>
    <w:rsid w:val="7ECB430D"/>
    <w:rsid w:val="7EEC26FB"/>
    <w:rsid w:val="7F0B3ECA"/>
    <w:rsid w:val="7F2C666B"/>
    <w:rsid w:val="7F330CBF"/>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3"/>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23</Pages>
  <Words>5602</Words>
  <Characters>6177</Characters>
  <Lines>30</Lines>
  <Paragraphs>63</Paragraphs>
  <TotalTime>0</TotalTime>
  <ScaleCrop>false</ScaleCrop>
  <LinksUpToDate>false</LinksUpToDate>
  <CharactersWithSpaces>6416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Administrator</cp:lastModifiedBy>
  <cp:lastPrinted>2023-08-17T03:58:00Z</cp:lastPrinted>
  <dcterms:modified xsi:type="dcterms:W3CDTF">2023-08-17T08:31:21Z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74B6B0621A8C4542BCF035DFF8297F1E_13</vt:lpwstr>
  </property>
</Properties>
</file>