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right"/>
        <w:outlineLvl w:val="1"/>
        <w:rPr>
          <w:rFonts w:hint="eastAsia" w:ascii="仿宋" w:hAnsi="仿宋" w:eastAsia="仿宋" w:cs="仿宋"/>
          <w:b/>
          <w:bCs/>
          <w:caps/>
          <w:color w:val="auto"/>
          <w:sz w:val="28"/>
          <w:szCs w:val="28"/>
          <w:lang w:val="en-US" w:eastAsia="zh-CN"/>
        </w:rPr>
      </w:pPr>
      <w:r>
        <w:rPr>
          <w:rFonts w:hint="eastAsia" w:ascii="仿宋" w:hAnsi="仿宋" w:eastAsia="仿宋" w:cs="仿宋"/>
          <w:b/>
          <w:bCs/>
          <w:caps/>
          <w:color w:val="auto"/>
          <w:sz w:val="28"/>
          <w:szCs w:val="28"/>
        </w:rPr>
        <w:t>项目编号：</w:t>
      </w:r>
      <w:r>
        <w:rPr>
          <w:rFonts w:hint="eastAsia" w:ascii="仿宋" w:hAnsi="仿宋" w:eastAsia="仿宋" w:cs="仿宋"/>
          <w:b/>
          <w:bCs/>
          <w:caps/>
          <w:color w:val="auto"/>
          <w:sz w:val="28"/>
          <w:szCs w:val="28"/>
          <w:lang w:val="en-US" w:eastAsia="zh-CN"/>
        </w:rPr>
        <w:t>RZB-2023001</w:t>
      </w:r>
      <w:r>
        <w:rPr>
          <w:rFonts w:hint="eastAsia" w:ascii="仿宋" w:hAnsi="仿宋" w:eastAsia="仿宋" w:cs="仿宋"/>
          <w:b/>
          <w:bCs/>
          <w:caps/>
          <w:color w:val="auto"/>
          <w:sz w:val="28"/>
          <w:szCs w:val="28"/>
        </w:rPr>
        <w:t xml:space="preserve">号 </w:t>
      </w:r>
    </w:p>
    <w:p>
      <w:pPr>
        <w:widowControl w:val="0"/>
        <w:wordWrap/>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pPr>
        <w:widowControl w:val="0"/>
        <w:wordWrap/>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pPr>
        <w:pStyle w:val="3"/>
        <w:widowControl/>
        <w:wordWrap/>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许昌市城投发展集团有限公司</w:t>
      </w:r>
    </w:p>
    <w:p>
      <w:pPr>
        <w:pStyle w:val="3"/>
        <w:widowControl/>
        <w:wordWrap/>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val="en-US" w:eastAsia="zh-CN"/>
        </w:rPr>
        <w:t>2023年</w:t>
      </w:r>
      <w:r>
        <w:rPr>
          <w:rFonts w:hint="eastAsia" w:ascii="方正小标宋简体" w:hAnsi="方正小标宋简体" w:eastAsia="方正小标宋简体" w:cs="方正小标宋简体"/>
          <w:b w:val="0"/>
          <w:bCs w:val="0"/>
          <w:sz w:val="52"/>
          <w:szCs w:val="52"/>
          <w:lang w:eastAsia="zh-CN"/>
        </w:rPr>
        <w:t>中国银行间市场交易商协会</w:t>
      </w:r>
    </w:p>
    <w:p>
      <w:pPr>
        <w:pStyle w:val="3"/>
        <w:widowControl/>
        <w:wordWrap/>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eastAsia="zh-CN"/>
        </w:rPr>
        <w:t>债务融资工具注册发行</w:t>
      </w:r>
      <w:r>
        <w:rPr>
          <w:rFonts w:hint="eastAsia" w:ascii="方正小标宋简体" w:hAnsi="方正小标宋简体" w:eastAsia="方正小标宋简体" w:cs="方正小标宋简体"/>
          <w:b w:val="0"/>
          <w:bCs w:val="0"/>
          <w:sz w:val="52"/>
          <w:szCs w:val="52"/>
        </w:rPr>
        <w:t>法律服务</w:t>
      </w:r>
    </w:p>
    <w:p>
      <w:pPr>
        <w:jc w:val="center"/>
        <w:rPr>
          <w:rFonts w:hint="eastAsia" w:ascii="仿宋" w:hAnsi="仿宋" w:eastAsia="仿宋" w:cs="仿宋"/>
          <w:b/>
          <w:color w:val="auto"/>
          <w:spacing w:val="60"/>
          <w:sz w:val="28"/>
          <w:szCs w:val="28"/>
          <w:shd w:val="clear" w:color="060000" w:fill="auto"/>
        </w:rPr>
      </w:pPr>
    </w:p>
    <w:p>
      <w:pPr>
        <w:jc w:val="both"/>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询 比 采 购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pStyle w:val="39"/>
        <w:jc w:val="both"/>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spacing w:line="360" w:lineRule="auto"/>
        <w:jc w:val="center"/>
        <w:rPr>
          <w:rFonts w:hint="eastAsia" w:ascii="仿宋" w:hAnsi="仿宋" w:eastAsia="仿宋" w:cs="仿宋"/>
          <w:b/>
          <w:bCs/>
          <w:caps/>
          <w:color w:val="auto"/>
          <w:sz w:val="36"/>
          <w:szCs w:val="36"/>
        </w:rPr>
      </w:pPr>
      <w:r>
        <w:rPr>
          <w:rFonts w:hint="eastAsia" w:ascii="仿宋" w:hAnsi="仿宋" w:eastAsia="仿宋" w:cs="仿宋"/>
          <w:b/>
          <w:bCs/>
          <w:caps/>
          <w:color w:val="auto"/>
          <w:sz w:val="36"/>
          <w:szCs w:val="36"/>
          <w:lang w:val="en-US" w:eastAsia="zh-CN"/>
        </w:rPr>
        <w:t>询比采购单位</w:t>
      </w:r>
      <w:r>
        <w:rPr>
          <w:rFonts w:hint="eastAsia" w:ascii="仿宋" w:hAnsi="仿宋" w:eastAsia="仿宋" w:cs="仿宋"/>
          <w:b/>
          <w:bCs/>
          <w:caps/>
          <w:color w:val="auto"/>
          <w:sz w:val="36"/>
          <w:szCs w:val="36"/>
        </w:rPr>
        <w:t>：许昌市城投发展集团有限公司</w:t>
      </w:r>
    </w:p>
    <w:p>
      <w:pPr>
        <w:spacing w:line="360" w:lineRule="auto"/>
        <w:jc w:val="center"/>
        <w:rPr>
          <w:rFonts w:hint="eastAsia" w:ascii="仿宋" w:hAnsi="仿宋" w:eastAsia="仿宋" w:cs="仿宋"/>
          <w:b/>
          <w:color w:val="auto"/>
          <w:sz w:val="36"/>
          <w:szCs w:val="36"/>
          <w:shd w:val="clear" w:color="060000" w:fill="auto"/>
        </w:rPr>
      </w:pPr>
    </w:p>
    <w:p>
      <w:pPr>
        <w:spacing w:line="360" w:lineRule="auto"/>
        <w:jc w:val="center"/>
        <w:rPr>
          <w:rFonts w:hint="eastAsia" w:ascii="仿宋" w:hAnsi="仿宋" w:eastAsia="仿宋" w:cs="仿宋"/>
          <w:color w:val="auto"/>
          <w:sz w:val="36"/>
          <w:szCs w:val="36"/>
          <w:shd w:val="clear" w:color="050000" w:fill="auto"/>
        </w:rPr>
      </w:pPr>
      <w:r>
        <w:rPr>
          <w:rFonts w:hint="eastAsia" w:ascii="仿宋" w:hAnsi="仿宋" w:eastAsia="仿宋" w:cs="仿宋"/>
          <w:b/>
          <w:color w:val="auto"/>
          <w:sz w:val="36"/>
          <w:szCs w:val="36"/>
          <w:shd w:val="clear" w:color="060000" w:fill="auto"/>
        </w:rPr>
        <w:t>二〇二</w:t>
      </w:r>
      <w:r>
        <w:rPr>
          <w:rFonts w:hint="eastAsia" w:ascii="仿宋" w:hAnsi="仿宋" w:eastAsia="仿宋" w:cs="仿宋"/>
          <w:b/>
          <w:color w:val="auto"/>
          <w:sz w:val="36"/>
          <w:szCs w:val="36"/>
          <w:shd w:val="clear" w:color="060000" w:fill="auto"/>
          <w:lang w:val="en-US" w:eastAsia="zh-CN"/>
        </w:rPr>
        <w:t>三</w:t>
      </w:r>
      <w:r>
        <w:rPr>
          <w:rFonts w:hint="eastAsia" w:ascii="仿宋" w:hAnsi="仿宋" w:eastAsia="仿宋" w:cs="仿宋"/>
          <w:b/>
          <w:color w:val="auto"/>
          <w:sz w:val="36"/>
          <w:szCs w:val="36"/>
          <w:shd w:val="clear" w:color="060000" w:fill="auto"/>
        </w:rPr>
        <w:t>年</w:t>
      </w:r>
      <w:r>
        <w:rPr>
          <w:rFonts w:hint="eastAsia" w:ascii="仿宋" w:hAnsi="仿宋" w:eastAsia="仿宋" w:cs="仿宋"/>
          <w:b/>
          <w:color w:val="auto"/>
          <w:sz w:val="36"/>
          <w:szCs w:val="36"/>
          <w:shd w:val="clear" w:color="060000" w:fill="auto"/>
          <w:lang w:eastAsia="zh-CN"/>
        </w:rPr>
        <w:t>七</w:t>
      </w:r>
      <w:r>
        <w:rPr>
          <w:rFonts w:hint="eastAsia" w:ascii="仿宋" w:hAnsi="仿宋" w:eastAsia="仿宋" w:cs="仿宋"/>
          <w:b/>
          <w:color w:val="auto"/>
          <w:sz w:val="36"/>
          <w:szCs w:val="36"/>
          <w:shd w:val="clear" w:color="060000" w:fill="auto"/>
        </w:rPr>
        <w:t>月</w:t>
      </w:r>
    </w:p>
    <w:p>
      <w:pPr>
        <w:pStyle w:val="36"/>
        <w:ind w:firstLine="0" w:firstLineChars="0"/>
        <w:rPr>
          <w:rFonts w:hint="eastAsia" w:ascii="仿宋" w:hAnsi="仿宋" w:eastAsia="仿宋" w:cs="仿宋"/>
          <w:color w:val="auto"/>
          <w:sz w:val="24"/>
          <w:szCs w:val="24"/>
        </w:rPr>
      </w:pPr>
    </w:p>
    <w:p>
      <w:pPr>
        <w:spacing w:line="700" w:lineRule="auto"/>
        <w:ind w:firstLine="551"/>
        <w:jc w:val="center"/>
        <w:sectPr>
          <w:footerReference r:id="rId5" w:type="first"/>
          <w:footerReference r:id="rId4" w:type="default"/>
          <w:pgSz w:w="11906" w:h="16838"/>
          <w:pgMar w:top="1440" w:right="1800" w:bottom="1440" w:left="1800" w:header="720" w:footer="720" w:gutter="0"/>
          <w:pgNumType w:start="1"/>
          <w:cols w:space="720" w:num="1"/>
          <w:docGrid w:type="lines" w:linePitch="312"/>
        </w:sectPr>
      </w:pPr>
    </w:p>
    <w:p>
      <w:pPr>
        <w:widowControl/>
        <w:wordWrap/>
        <w:adjustRightInd/>
        <w:snapToGrid/>
        <w:spacing w:line="720" w:lineRule="auto"/>
        <w:ind w:firstLine="551"/>
        <w:jc w:val="center"/>
        <w:textAlignment w:val="auto"/>
        <w:rPr>
          <w:rFonts w:hint="eastAsia" w:ascii="仿宋" w:hAnsi="仿宋" w:eastAsia="仿宋" w:cs="仿宋"/>
          <w:color w:val="auto"/>
          <w:sz w:val="40"/>
          <w:szCs w:val="40"/>
          <w:shd w:val="clear" w:color="060000" w:fill="auto"/>
        </w:rPr>
      </w:pPr>
      <w:r>
        <w:rPr>
          <w:rFonts w:hint="eastAsia" w:ascii="仿宋" w:hAnsi="仿宋" w:eastAsia="仿宋" w:cs="仿宋"/>
          <w:b/>
          <w:color w:val="auto"/>
          <w:sz w:val="40"/>
          <w:szCs w:val="40"/>
          <w:shd w:val="clear" w:color="060000" w:fill="auto"/>
          <w:lang w:eastAsia="zh-CN"/>
        </w:rPr>
        <w:t>询比采购文件</w:t>
      </w:r>
      <w:r>
        <w:rPr>
          <w:rFonts w:hint="eastAsia" w:ascii="仿宋" w:hAnsi="仿宋" w:eastAsia="仿宋" w:cs="仿宋"/>
          <w:b/>
          <w:color w:val="auto"/>
          <w:sz w:val="40"/>
          <w:szCs w:val="40"/>
          <w:shd w:val="clear" w:color="060000" w:fill="auto"/>
        </w:rPr>
        <w:t>目录</w:t>
      </w:r>
    </w:p>
    <w:p>
      <w:pPr>
        <w:pStyle w:val="30"/>
        <w:widowControl/>
        <w:wordWrap/>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p>
    <w:p>
      <w:pPr>
        <w:pStyle w:val="30"/>
        <w:widowControl/>
        <w:wordWrap/>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lang w:eastAsia="zh-CN"/>
        </w:rPr>
      </w:pPr>
      <w:r>
        <w:rPr>
          <w:rFonts w:hint="eastAsia" w:ascii="仿宋" w:hAnsi="仿宋" w:eastAsia="仿宋" w:cs="仿宋"/>
          <w:b/>
          <w:color w:val="auto"/>
          <w:sz w:val="32"/>
          <w:szCs w:val="32"/>
          <w:shd w:val="clear" w:color="060000" w:fill="auto"/>
        </w:rPr>
        <w:t xml:space="preserve">第一章 </w:t>
      </w:r>
      <w:r>
        <w:rPr>
          <w:rFonts w:hint="eastAsia" w:ascii="仿宋" w:hAnsi="仿宋" w:eastAsia="仿宋" w:cs="仿宋"/>
          <w:b/>
          <w:color w:val="auto"/>
          <w:sz w:val="32"/>
          <w:szCs w:val="32"/>
          <w:shd w:val="clear" w:color="060000" w:fill="auto"/>
          <w:lang w:val="en-US" w:eastAsia="zh-CN"/>
        </w:rPr>
        <w:t>询比采购邀请函</w:t>
      </w:r>
    </w:p>
    <w:p>
      <w:pPr>
        <w:pStyle w:val="30"/>
        <w:widowControl/>
        <w:wordWrap/>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第二章</w:t>
      </w:r>
      <w:r>
        <w:rPr>
          <w:rFonts w:hint="eastAsia" w:ascii="仿宋" w:hAnsi="仿宋" w:eastAsia="仿宋" w:cs="仿宋"/>
          <w:b/>
          <w:color w:val="auto"/>
          <w:sz w:val="32"/>
          <w:szCs w:val="32"/>
          <w:shd w:val="clear" w:color="060000" w:fill="auto"/>
          <w:lang w:val="en-US" w:eastAsia="zh-CN"/>
        </w:rPr>
        <w:t xml:space="preserve"> 采购需求</w:t>
      </w:r>
    </w:p>
    <w:p>
      <w:pPr>
        <w:pStyle w:val="30"/>
        <w:widowControl/>
        <w:wordWrap/>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三</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投标人</w:t>
      </w:r>
      <w:r>
        <w:rPr>
          <w:rFonts w:hint="eastAsia" w:ascii="仿宋" w:hAnsi="仿宋" w:eastAsia="仿宋" w:cs="仿宋"/>
          <w:b/>
          <w:color w:val="auto"/>
          <w:sz w:val="32"/>
          <w:szCs w:val="32"/>
          <w:shd w:val="clear" w:color="060000" w:fill="auto"/>
        </w:rPr>
        <w:t>须知</w:t>
      </w:r>
    </w:p>
    <w:p>
      <w:pPr>
        <w:pStyle w:val="30"/>
        <w:widowControl/>
        <w:wordWrap/>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第四章</w:t>
      </w:r>
      <w:r>
        <w:rPr>
          <w:rFonts w:hint="eastAsia" w:ascii="仿宋" w:hAnsi="仿宋" w:eastAsia="仿宋" w:cs="仿宋"/>
          <w:b/>
          <w:color w:val="auto"/>
          <w:sz w:val="32"/>
          <w:szCs w:val="32"/>
          <w:shd w:val="clear" w:color="060000" w:fill="auto"/>
          <w:lang w:val="en-US" w:eastAsia="zh-CN"/>
        </w:rPr>
        <w:t xml:space="preserve"> 评分办法</w:t>
      </w:r>
    </w:p>
    <w:p>
      <w:pPr>
        <w:pStyle w:val="30"/>
        <w:widowControl/>
        <w:wordWrap/>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五</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投标文件</w:t>
      </w:r>
      <w:r>
        <w:rPr>
          <w:rFonts w:hint="eastAsia" w:ascii="仿宋" w:hAnsi="仿宋" w:eastAsia="仿宋" w:cs="仿宋"/>
          <w:b/>
          <w:color w:val="auto"/>
          <w:sz w:val="32"/>
          <w:szCs w:val="32"/>
          <w:shd w:val="clear" w:color="060000" w:fill="auto"/>
        </w:rPr>
        <w:t>有关格式</w:t>
      </w:r>
    </w:p>
    <w:p>
      <w:pPr>
        <w:jc w:val="left"/>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询比采购邀请函</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许昌市城投发展集团有限公司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人）拟通过邀请</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的方式选聘律师事务所为</w:t>
      </w:r>
      <w:r>
        <w:rPr>
          <w:rFonts w:hint="eastAsia" w:ascii="仿宋_GB2312" w:hAnsi="仿宋_GB2312" w:eastAsia="仿宋_GB2312" w:cs="仿宋_GB2312"/>
          <w:sz w:val="32"/>
          <w:szCs w:val="32"/>
          <w:lang w:eastAsia="zh-CN"/>
        </w:rPr>
        <w:t>询比采购人及子公司中国银行间市场交易商协会（以下简称协会）债务融资工具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注册、发行等</w:t>
      </w:r>
      <w:r>
        <w:rPr>
          <w:rFonts w:hint="eastAsia" w:ascii="仿宋_GB2312" w:hAnsi="仿宋_GB2312" w:eastAsia="仿宋_GB2312" w:cs="仿宋_GB2312"/>
          <w:sz w:val="32"/>
          <w:szCs w:val="32"/>
        </w:rPr>
        <w:t>相关工作提供专项法律服务，现诚邀符合资格条件的</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申请人参加。</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lang w:val="en-US" w:eastAsia="zh-CN"/>
        </w:rPr>
        <w:t>项目</w:t>
      </w:r>
      <w:r>
        <w:rPr>
          <w:rFonts w:hint="eastAsia" w:ascii="仿宋_GB2312" w:hAnsi="仿宋_GB2312" w:eastAsia="仿宋_GB2312" w:cs="仿宋_GB2312"/>
          <w:b/>
          <w:bCs w:val="0"/>
          <w:sz w:val="32"/>
          <w:szCs w:val="32"/>
        </w:rPr>
        <w:t>概况</w:t>
      </w:r>
    </w:p>
    <w:p>
      <w:pPr>
        <w:widowControl w:val="0"/>
        <w:wordWrap/>
        <w:adjustRightInd/>
        <w:snapToGrid/>
        <w:spacing w:line="600" w:lineRule="exact"/>
        <w:ind w:firstLine="643"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sz w:val="32"/>
          <w:szCs w:val="32"/>
          <w:lang w:val="en-US" w:eastAsia="zh-CN"/>
        </w:rPr>
        <w:t>许昌市城投发展集团有限公司中国银行间市场交易商协会中期票据注册发行法律服务</w:t>
      </w:r>
    </w:p>
    <w:p>
      <w:pPr>
        <w:widowControl w:val="0"/>
        <w:wordWrap/>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val="en-US" w:eastAsia="zh-CN"/>
        </w:rPr>
        <w:t>债券</w:t>
      </w:r>
      <w:r>
        <w:rPr>
          <w:rFonts w:hint="eastAsia" w:ascii="仿宋_GB2312" w:hAnsi="仿宋_GB2312" w:eastAsia="仿宋_GB2312" w:cs="仿宋_GB2312"/>
          <w:b/>
          <w:sz w:val="32"/>
          <w:szCs w:val="32"/>
        </w:rPr>
        <w:t>名称：</w:t>
      </w:r>
      <w:r>
        <w:rPr>
          <w:rFonts w:hint="eastAsia" w:ascii="仿宋_GB2312" w:hAnsi="仿宋_GB2312" w:eastAsia="仿宋_GB2312" w:cs="仿宋_GB2312"/>
          <w:sz w:val="32"/>
          <w:szCs w:val="32"/>
          <w:lang w:val="en-US" w:eastAsia="zh-CN"/>
        </w:rPr>
        <w:t>许昌市城投发展集团有限公司中国银行间市场交易商协会中期票据</w:t>
      </w:r>
      <w:r>
        <w:rPr>
          <w:rFonts w:hint="eastAsia" w:ascii="仿宋_GB2312" w:hAnsi="仿宋_GB2312" w:eastAsia="仿宋_GB2312" w:cs="仿宋_GB2312"/>
          <w:b w:val="0"/>
          <w:bCs w:val="0"/>
          <w:sz w:val="32"/>
          <w:szCs w:val="32"/>
          <w:lang w:eastAsia="zh-CN"/>
        </w:rPr>
        <w:t>（具体以协会批复文件为准）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发行人：</w:t>
      </w:r>
      <w:r>
        <w:rPr>
          <w:rFonts w:hint="eastAsia" w:ascii="仿宋_GB2312" w:hAnsi="仿宋_GB2312" w:eastAsia="仿宋_GB2312" w:cs="仿宋_GB2312"/>
          <w:sz w:val="32"/>
          <w:szCs w:val="32"/>
          <w:lang w:val="en-US" w:eastAsia="zh-CN"/>
        </w:rPr>
        <w:t>许昌市城投发展集团有限公司</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发行总额：</w:t>
      </w:r>
      <w:r>
        <w:rPr>
          <w:rFonts w:hint="eastAsia" w:ascii="仿宋_GB2312" w:hAnsi="仿宋_GB2312" w:eastAsia="仿宋_GB2312" w:cs="仿宋_GB2312"/>
          <w:sz w:val="32"/>
          <w:szCs w:val="32"/>
          <w:lang w:eastAsia="zh-CN"/>
        </w:rPr>
        <w:t>总额不超过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亿</w:t>
      </w:r>
      <w:r>
        <w:rPr>
          <w:rFonts w:hint="eastAsia" w:ascii="仿宋_GB2312" w:hAnsi="仿宋_GB2312" w:eastAsia="仿宋_GB2312" w:cs="仿宋_GB2312"/>
          <w:sz w:val="32"/>
          <w:szCs w:val="32"/>
          <w:lang w:eastAsia="zh-CN"/>
        </w:rPr>
        <w:t>人民币</w:t>
      </w:r>
      <w:r>
        <w:rPr>
          <w:rFonts w:hint="eastAsia" w:ascii="仿宋_GB2312" w:hAnsi="仿宋_GB2312" w:eastAsia="仿宋_GB2312" w:cs="仿宋_GB2312"/>
          <w:sz w:val="32"/>
          <w:szCs w:val="32"/>
        </w:rPr>
        <w:t>（具体以</w:t>
      </w:r>
      <w:r>
        <w:rPr>
          <w:rFonts w:hint="eastAsia" w:ascii="仿宋_GB2312" w:hAnsi="仿宋_GB2312" w:eastAsia="仿宋_GB2312" w:cs="仿宋_GB2312"/>
          <w:sz w:val="32"/>
          <w:szCs w:val="32"/>
          <w:lang w:eastAsia="zh-CN"/>
        </w:rPr>
        <w:t>协会批复金额</w:t>
      </w:r>
      <w:r>
        <w:rPr>
          <w:rFonts w:hint="eastAsia" w:ascii="仿宋_GB2312" w:hAnsi="仿宋_GB2312" w:eastAsia="仿宋_GB2312" w:cs="仿宋_GB2312"/>
          <w:sz w:val="32"/>
          <w:szCs w:val="32"/>
        </w:rPr>
        <w:t>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债券期限：</w:t>
      </w:r>
      <w:r>
        <w:rPr>
          <w:rFonts w:hint="eastAsia" w:ascii="仿宋_GB2312" w:hAnsi="仿宋_GB2312" w:eastAsia="仿宋_GB2312" w:cs="仿宋_GB2312"/>
          <w:b w:val="0"/>
          <w:bCs/>
          <w:sz w:val="32"/>
          <w:szCs w:val="32"/>
          <w:lang w:eastAsia="zh-CN"/>
        </w:rPr>
        <w:t>不超过</w:t>
      </w:r>
      <w:r>
        <w:rPr>
          <w:rFonts w:hint="eastAsia" w:ascii="仿宋_GB2312" w:hAnsi="仿宋_GB2312" w:eastAsia="仿宋_GB2312" w:cs="仿宋_GB2312"/>
          <w:b w:val="0"/>
          <w:bCs/>
          <w:sz w:val="32"/>
          <w:szCs w:val="32"/>
          <w:lang w:val="en-US" w:eastAsia="zh-CN"/>
        </w:rPr>
        <w:t>5年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CN"/>
        </w:rPr>
        <w:t>具体以协会批复文件和实际发行结果为准）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承销方式：</w:t>
      </w:r>
      <w:r>
        <w:rPr>
          <w:rFonts w:hint="eastAsia" w:ascii="仿宋_GB2312" w:hAnsi="仿宋_GB2312" w:eastAsia="仿宋_GB2312" w:cs="仿宋_GB2312"/>
          <w:sz w:val="32"/>
          <w:szCs w:val="32"/>
        </w:rPr>
        <w:t>余额包销</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发行价格：</w:t>
      </w:r>
      <w:r>
        <w:rPr>
          <w:rFonts w:hint="eastAsia" w:ascii="仿宋_GB2312" w:hAnsi="仿宋_GB2312" w:eastAsia="仿宋_GB2312" w:cs="仿宋_GB2312"/>
          <w:sz w:val="32"/>
          <w:szCs w:val="32"/>
        </w:rPr>
        <w:t>按债券面值平价发行</w:t>
      </w:r>
    </w:p>
    <w:p>
      <w:pPr>
        <w:widowControl w:val="0"/>
        <w:wordWrap/>
        <w:adjustRightInd/>
        <w:snapToGrid/>
        <w:spacing w:line="60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sz w:val="32"/>
          <w:szCs w:val="32"/>
          <w:lang w:val="en-US" w:eastAsia="zh-CN"/>
        </w:rPr>
        <w:t>许昌市城投发展集团有限公司中国银行间市场交易商协会中期票据（绿色债务融资工具）注册发行法律服务</w:t>
      </w:r>
    </w:p>
    <w:p>
      <w:pPr>
        <w:widowControl w:val="0"/>
        <w:wordWrap/>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val="en-US" w:eastAsia="zh-CN"/>
        </w:rPr>
        <w:t>债券</w:t>
      </w:r>
      <w:r>
        <w:rPr>
          <w:rFonts w:hint="eastAsia" w:ascii="仿宋_GB2312" w:hAnsi="仿宋_GB2312" w:eastAsia="仿宋_GB2312" w:cs="仿宋_GB2312"/>
          <w:b/>
          <w:sz w:val="32"/>
          <w:szCs w:val="32"/>
        </w:rPr>
        <w:t>名称：</w:t>
      </w:r>
      <w:r>
        <w:rPr>
          <w:rFonts w:hint="eastAsia" w:ascii="仿宋_GB2312" w:hAnsi="仿宋_GB2312" w:eastAsia="仿宋_GB2312" w:cs="仿宋_GB2312"/>
          <w:sz w:val="32"/>
          <w:szCs w:val="32"/>
          <w:lang w:val="en-US" w:eastAsia="zh-CN"/>
        </w:rPr>
        <w:t>许昌市城投发展集团有限公司中国银行间市场交易商协会中期票据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绿色债务融资工具，</w:t>
      </w:r>
      <w:r>
        <w:rPr>
          <w:rFonts w:hint="eastAsia" w:ascii="仿宋_GB2312" w:hAnsi="仿宋_GB2312" w:eastAsia="仿宋_GB2312" w:cs="仿宋_GB2312"/>
          <w:b w:val="0"/>
          <w:bCs w:val="0"/>
          <w:sz w:val="32"/>
          <w:szCs w:val="32"/>
          <w:lang w:eastAsia="zh-CN"/>
        </w:rPr>
        <w:t>具体以协会批复文件为准）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发行人：</w:t>
      </w:r>
      <w:r>
        <w:rPr>
          <w:rFonts w:hint="eastAsia" w:ascii="仿宋_GB2312" w:hAnsi="仿宋_GB2312" w:eastAsia="仿宋_GB2312" w:cs="仿宋_GB2312"/>
          <w:sz w:val="32"/>
          <w:szCs w:val="32"/>
          <w:lang w:val="en-US" w:eastAsia="zh-CN"/>
        </w:rPr>
        <w:t>许昌市城投发展集团有限公司</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发行总额：</w:t>
      </w:r>
      <w:r>
        <w:rPr>
          <w:rFonts w:hint="eastAsia" w:ascii="仿宋_GB2312" w:hAnsi="仿宋_GB2312" w:eastAsia="仿宋_GB2312" w:cs="仿宋_GB2312"/>
          <w:sz w:val="32"/>
          <w:szCs w:val="32"/>
          <w:lang w:eastAsia="zh-CN"/>
        </w:rPr>
        <w:t>总额不超过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亿</w:t>
      </w:r>
      <w:r>
        <w:rPr>
          <w:rFonts w:hint="eastAsia" w:ascii="仿宋_GB2312" w:hAnsi="仿宋_GB2312" w:eastAsia="仿宋_GB2312" w:cs="仿宋_GB2312"/>
          <w:sz w:val="32"/>
          <w:szCs w:val="32"/>
          <w:lang w:eastAsia="zh-CN"/>
        </w:rPr>
        <w:t>人民币</w:t>
      </w:r>
      <w:r>
        <w:rPr>
          <w:rFonts w:hint="eastAsia" w:ascii="仿宋_GB2312" w:hAnsi="仿宋_GB2312" w:eastAsia="仿宋_GB2312" w:cs="仿宋_GB2312"/>
          <w:sz w:val="32"/>
          <w:szCs w:val="32"/>
        </w:rPr>
        <w:t>（具体以</w:t>
      </w:r>
      <w:r>
        <w:rPr>
          <w:rFonts w:hint="eastAsia" w:ascii="仿宋_GB2312" w:hAnsi="仿宋_GB2312" w:eastAsia="仿宋_GB2312" w:cs="仿宋_GB2312"/>
          <w:sz w:val="32"/>
          <w:szCs w:val="32"/>
          <w:lang w:eastAsia="zh-CN"/>
        </w:rPr>
        <w:t>协会批复金额</w:t>
      </w:r>
      <w:r>
        <w:rPr>
          <w:rFonts w:hint="eastAsia" w:ascii="仿宋_GB2312" w:hAnsi="仿宋_GB2312" w:eastAsia="仿宋_GB2312" w:cs="仿宋_GB2312"/>
          <w:sz w:val="32"/>
          <w:szCs w:val="32"/>
        </w:rPr>
        <w:t>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债券期限：</w:t>
      </w:r>
      <w:r>
        <w:rPr>
          <w:rFonts w:hint="eastAsia" w:ascii="仿宋_GB2312" w:hAnsi="仿宋_GB2312" w:eastAsia="仿宋_GB2312" w:cs="仿宋_GB2312"/>
          <w:b w:val="0"/>
          <w:bCs/>
          <w:sz w:val="32"/>
          <w:szCs w:val="32"/>
          <w:lang w:eastAsia="zh-CN"/>
        </w:rPr>
        <w:t>不超过</w:t>
      </w:r>
      <w:r>
        <w:rPr>
          <w:rFonts w:hint="eastAsia" w:ascii="仿宋_GB2312" w:hAnsi="仿宋_GB2312" w:eastAsia="仿宋_GB2312" w:cs="仿宋_GB2312"/>
          <w:b w:val="0"/>
          <w:bCs/>
          <w:sz w:val="32"/>
          <w:szCs w:val="32"/>
          <w:lang w:val="en-US" w:eastAsia="zh-CN"/>
        </w:rPr>
        <w:t>5年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CN"/>
        </w:rPr>
        <w:t>具体以协会批复文件和实际发行结果为准）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承销方式：</w:t>
      </w:r>
      <w:r>
        <w:rPr>
          <w:rFonts w:hint="eastAsia" w:ascii="仿宋_GB2312" w:hAnsi="仿宋_GB2312" w:eastAsia="仿宋_GB2312" w:cs="仿宋_GB2312"/>
          <w:sz w:val="32"/>
          <w:szCs w:val="32"/>
        </w:rPr>
        <w:t>余额包销</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发行价格：</w:t>
      </w:r>
      <w:r>
        <w:rPr>
          <w:rFonts w:hint="eastAsia" w:ascii="仿宋_GB2312" w:hAnsi="仿宋_GB2312" w:eastAsia="仿宋_GB2312" w:cs="仿宋_GB2312"/>
          <w:sz w:val="32"/>
          <w:szCs w:val="32"/>
        </w:rPr>
        <w:t>按债券面值平价发行</w:t>
      </w:r>
    </w:p>
    <w:p>
      <w:pPr>
        <w:widowControl w:val="0"/>
        <w:wordWrap/>
        <w:adjustRightInd/>
        <w:snapToGrid/>
        <w:spacing w:line="60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sz w:val="32"/>
          <w:szCs w:val="32"/>
          <w:lang w:val="en-US" w:eastAsia="zh-CN"/>
        </w:rPr>
        <w:t>许昌市城投发展集团有限公司中国银行间市场交易商协会资产担保债务融资工具注册发行法律服务</w:t>
      </w:r>
    </w:p>
    <w:p>
      <w:pPr>
        <w:widowControl w:val="0"/>
        <w:wordWrap/>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val="en-US" w:eastAsia="zh-CN"/>
        </w:rPr>
        <w:t>债券</w:t>
      </w:r>
      <w:r>
        <w:rPr>
          <w:rFonts w:hint="eastAsia" w:ascii="仿宋_GB2312" w:hAnsi="仿宋_GB2312" w:eastAsia="仿宋_GB2312" w:cs="仿宋_GB2312"/>
          <w:b/>
          <w:sz w:val="32"/>
          <w:szCs w:val="32"/>
        </w:rPr>
        <w:t>名称：</w:t>
      </w:r>
      <w:r>
        <w:rPr>
          <w:rFonts w:hint="eastAsia" w:ascii="仿宋_GB2312" w:hAnsi="仿宋_GB2312" w:eastAsia="仿宋_GB2312" w:cs="仿宋_GB2312"/>
          <w:sz w:val="32"/>
          <w:szCs w:val="32"/>
          <w:lang w:val="en-US" w:eastAsia="zh-CN"/>
        </w:rPr>
        <w:t>许昌市城投发展集团有限公司中国银行间市场交易商协会资产担保债务融资工具</w:t>
      </w:r>
      <w:r>
        <w:rPr>
          <w:rFonts w:hint="eastAsia" w:ascii="仿宋_GB2312" w:hAnsi="仿宋_GB2312" w:eastAsia="仿宋_GB2312" w:cs="仿宋_GB2312"/>
          <w:b w:val="0"/>
          <w:bCs w:val="0"/>
          <w:sz w:val="32"/>
          <w:szCs w:val="32"/>
          <w:lang w:eastAsia="zh-CN"/>
        </w:rPr>
        <w:t>（具体以协会批复文件为准）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发行人：</w:t>
      </w:r>
      <w:r>
        <w:rPr>
          <w:rFonts w:hint="eastAsia" w:ascii="仿宋_GB2312" w:hAnsi="仿宋_GB2312" w:eastAsia="仿宋_GB2312" w:cs="仿宋_GB2312"/>
          <w:sz w:val="32"/>
          <w:szCs w:val="32"/>
          <w:lang w:val="en-US" w:eastAsia="zh-CN"/>
        </w:rPr>
        <w:t>许昌市城投发展集团有限公司</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发行总额：</w:t>
      </w:r>
      <w:r>
        <w:rPr>
          <w:rFonts w:hint="eastAsia" w:ascii="仿宋_GB2312" w:hAnsi="仿宋_GB2312" w:eastAsia="仿宋_GB2312" w:cs="仿宋_GB2312"/>
          <w:sz w:val="32"/>
          <w:szCs w:val="32"/>
          <w:lang w:eastAsia="zh-CN"/>
        </w:rPr>
        <w:t>总额不超过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亿</w:t>
      </w:r>
      <w:r>
        <w:rPr>
          <w:rFonts w:hint="eastAsia" w:ascii="仿宋_GB2312" w:hAnsi="仿宋_GB2312" w:eastAsia="仿宋_GB2312" w:cs="仿宋_GB2312"/>
          <w:sz w:val="32"/>
          <w:szCs w:val="32"/>
          <w:lang w:eastAsia="zh-CN"/>
        </w:rPr>
        <w:t>人民币</w:t>
      </w:r>
      <w:r>
        <w:rPr>
          <w:rFonts w:hint="eastAsia" w:ascii="仿宋_GB2312" w:hAnsi="仿宋_GB2312" w:eastAsia="仿宋_GB2312" w:cs="仿宋_GB2312"/>
          <w:sz w:val="32"/>
          <w:szCs w:val="32"/>
        </w:rPr>
        <w:t>（具体以</w:t>
      </w:r>
      <w:r>
        <w:rPr>
          <w:rFonts w:hint="eastAsia" w:ascii="仿宋_GB2312" w:hAnsi="仿宋_GB2312" w:eastAsia="仿宋_GB2312" w:cs="仿宋_GB2312"/>
          <w:sz w:val="32"/>
          <w:szCs w:val="32"/>
          <w:lang w:eastAsia="zh-CN"/>
        </w:rPr>
        <w:t>协会批复金额</w:t>
      </w:r>
      <w:r>
        <w:rPr>
          <w:rFonts w:hint="eastAsia" w:ascii="仿宋_GB2312" w:hAnsi="仿宋_GB2312" w:eastAsia="仿宋_GB2312" w:cs="仿宋_GB2312"/>
          <w:sz w:val="32"/>
          <w:szCs w:val="32"/>
        </w:rPr>
        <w:t>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债券期限：</w:t>
      </w:r>
      <w:r>
        <w:rPr>
          <w:rFonts w:hint="eastAsia" w:ascii="仿宋_GB2312" w:hAnsi="仿宋_GB2312" w:eastAsia="仿宋_GB2312" w:cs="仿宋_GB2312"/>
          <w:b w:val="0"/>
          <w:bCs/>
          <w:sz w:val="32"/>
          <w:szCs w:val="32"/>
          <w:lang w:eastAsia="zh-CN"/>
        </w:rPr>
        <w:t>不超过</w:t>
      </w:r>
      <w:r>
        <w:rPr>
          <w:rFonts w:hint="eastAsia" w:ascii="仿宋_GB2312" w:hAnsi="仿宋_GB2312" w:eastAsia="仿宋_GB2312" w:cs="仿宋_GB2312"/>
          <w:b w:val="0"/>
          <w:bCs/>
          <w:sz w:val="32"/>
          <w:szCs w:val="32"/>
          <w:lang w:val="en-US" w:eastAsia="zh-CN"/>
        </w:rPr>
        <w:t>5年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CN"/>
        </w:rPr>
        <w:t>具体以协会批复文件和实际发行结果为准）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承销方式：</w:t>
      </w:r>
      <w:r>
        <w:rPr>
          <w:rFonts w:hint="eastAsia" w:ascii="仿宋_GB2312" w:hAnsi="仿宋_GB2312" w:eastAsia="仿宋_GB2312" w:cs="仿宋_GB2312"/>
          <w:sz w:val="32"/>
          <w:szCs w:val="32"/>
        </w:rPr>
        <w:t>余额包销</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发行价格：</w:t>
      </w:r>
      <w:r>
        <w:rPr>
          <w:rFonts w:hint="eastAsia" w:ascii="仿宋_GB2312" w:hAnsi="仿宋_GB2312" w:eastAsia="仿宋_GB2312" w:cs="仿宋_GB2312"/>
          <w:sz w:val="32"/>
          <w:szCs w:val="32"/>
        </w:rPr>
        <w:t>按债券面值平价发行</w:t>
      </w:r>
    </w:p>
    <w:p>
      <w:pPr>
        <w:widowControl w:val="0"/>
        <w:wordWrap/>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（四）许昌市城投发展集团有限公司中国银行间市场交易商协会短期融资券注册发行法律服务</w:t>
      </w:r>
    </w:p>
    <w:p>
      <w:pPr>
        <w:widowControl w:val="0"/>
        <w:wordWrap/>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val="en-US" w:eastAsia="zh-CN"/>
        </w:rPr>
        <w:t>债券</w:t>
      </w:r>
      <w:r>
        <w:rPr>
          <w:rFonts w:hint="eastAsia" w:ascii="仿宋_GB2312" w:hAnsi="仿宋_GB2312" w:eastAsia="仿宋_GB2312" w:cs="仿宋_GB2312"/>
          <w:b/>
          <w:sz w:val="32"/>
          <w:szCs w:val="32"/>
        </w:rPr>
        <w:t>名称：</w:t>
      </w:r>
      <w:r>
        <w:rPr>
          <w:rFonts w:hint="eastAsia" w:ascii="仿宋_GB2312" w:hAnsi="仿宋_GB2312" w:eastAsia="仿宋_GB2312" w:cs="仿宋_GB2312"/>
          <w:sz w:val="32"/>
          <w:szCs w:val="32"/>
          <w:lang w:val="en-US" w:eastAsia="zh-CN"/>
        </w:rPr>
        <w:t>许昌市城投发展集团有限公司中国银行间市场交易商协会短期融资券</w:t>
      </w:r>
      <w:r>
        <w:rPr>
          <w:rFonts w:hint="eastAsia" w:ascii="仿宋_GB2312" w:hAnsi="仿宋_GB2312" w:eastAsia="仿宋_GB2312" w:cs="仿宋_GB2312"/>
          <w:b w:val="0"/>
          <w:bCs w:val="0"/>
          <w:sz w:val="32"/>
          <w:szCs w:val="32"/>
          <w:lang w:eastAsia="zh-CN"/>
        </w:rPr>
        <w:t>（具体以协会批复文件为准）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发行人：</w:t>
      </w:r>
      <w:r>
        <w:rPr>
          <w:rFonts w:hint="eastAsia" w:ascii="仿宋_GB2312" w:hAnsi="仿宋_GB2312" w:eastAsia="仿宋_GB2312" w:cs="仿宋_GB2312"/>
          <w:sz w:val="32"/>
          <w:szCs w:val="32"/>
          <w:lang w:val="en-US" w:eastAsia="zh-CN"/>
        </w:rPr>
        <w:t>许昌市城投发展集团有限公司</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发行总额：</w:t>
      </w:r>
      <w:r>
        <w:rPr>
          <w:rFonts w:hint="eastAsia" w:ascii="仿宋_GB2312" w:hAnsi="仿宋_GB2312" w:eastAsia="仿宋_GB2312" w:cs="仿宋_GB2312"/>
          <w:sz w:val="32"/>
          <w:szCs w:val="32"/>
          <w:lang w:eastAsia="zh-CN"/>
        </w:rPr>
        <w:t>总额不超过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亿</w:t>
      </w:r>
      <w:r>
        <w:rPr>
          <w:rFonts w:hint="eastAsia" w:ascii="仿宋_GB2312" w:hAnsi="仿宋_GB2312" w:eastAsia="仿宋_GB2312" w:cs="仿宋_GB2312"/>
          <w:sz w:val="32"/>
          <w:szCs w:val="32"/>
          <w:lang w:eastAsia="zh-CN"/>
        </w:rPr>
        <w:t>人民币</w:t>
      </w:r>
      <w:r>
        <w:rPr>
          <w:rFonts w:hint="eastAsia" w:ascii="仿宋_GB2312" w:hAnsi="仿宋_GB2312" w:eastAsia="仿宋_GB2312" w:cs="仿宋_GB2312"/>
          <w:sz w:val="32"/>
          <w:szCs w:val="32"/>
        </w:rPr>
        <w:t>（具体以</w:t>
      </w:r>
      <w:r>
        <w:rPr>
          <w:rFonts w:hint="eastAsia" w:ascii="仿宋_GB2312" w:hAnsi="仿宋_GB2312" w:eastAsia="仿宋_GB2312" w:cs="仿宋_GB2312"/>
          <w:sz w:val="32"/>
          <w:szCs w:val="32"/>
          <w:lang w:eastAsia="zh-CN"/>
        </w:rPr>
        <w:t>协会批复金额</w:t>
      </w:r>
      <w:r>
        <w:rPr>
          <w:rFonts w:hint="eastAsia" w:ascii="仿宋_GB2312" w:hAnsi="仿宋_GB2312" w:eastAsia="仿宋_GB2312" w:cs="仿宋_GB2312"/>
          <w:sz w:val="32"/>
          <w:szCs w:val="32"/>
        </w:rPr>
        <w:t>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债券期限：</w:t>
      </w:r>
      <w:r>
        <w:rPr>
          <w:rFonts w:hint="eastAsia" w:ascii="仿宋_GB2312" w:hAnsi="仿宋_GB2312" w:eastAsia="仿宋_GB2312" w:cs="仿宋_GB2312"/>
          <w:b w:val="0"/>
          <w:bCs/>
          <w:sz w:val="32"/>
          <w:szCs w:val="32"/>
          <w:lang w:eastAsia="zh-CN"/>
        </w:rPr>
        <w:t>不超过</w:t>
      </w:r>
      <w:r>
        <w:rPr>
          <w:rFonts w:hint="eastAsia" w:ascii="仿宋_GB2312" w:hAnsi="仿宋_GB2312" w:eastAsia="仿宋_GB2312" w:cs="仿宋_GB2312"/>
          <w:b w:val="0"/>
          <w:bCs/>
          <w:sz w:val="32"/>
          <w:szCs w:val="32"/>
          <w:lang w:val="en-US" w:eastAsia="zh-CN"/>
        </w:rPr>
        <w:t>1年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CN"/>
        </w:rPr>
        <w:t>具体以协会批复文件和实际发行结果为准）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承销方式：</w:t>
      </w:r>
      <w:r>
        <w:rPr>
          <w:rFonts w:hint="eastAsia" w:ascii="仿宋_GB2312" w:hAnsi="仿宋_GB2312" w:eastAsia="仿宋_GB2312" w:cs="仿宋_GB2312"/>
          <w:sz w:val="32"/>
          <w:szCs w:val="32"/>
        </w:rPr>
        <w:t>余额包销</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sz w:val="32"/>
          <w:szCs w:val="32"/>
        </w:rPr>
        <w:t>发行价格：</w:t>
      </w:r>
      <w:r>
        <w:rPr>
          <w:rFonts w:hint="eastAsia" w:ascii="仿宋_GB2312" w:hAnsi="仿宋_GB2312" w:eastAsia="仿宋_GB2312" w:cs="仿宋_GB2312"/>
          <w:sz w:val="32"/>
          <w:szCs w:val="32"/>
        </w:rPr>
        <w:t>按债券面值平价发行</w:t>
      </w:r>
    </w:p>
    <w:p>
      <w:pPr>
        <w:widowControl w:val="0"/>
        <w:wordWrap/>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（五）许昌市建设投资有限责任公司中国银行间市场交易商协会定向债务融资工具注册发行法律服务</w:t>
      </w:r>
    </w:p>
    <w:p>
      <w:pPr>
        <w:widowControl w:val="0"/>
        <w:wordWrap/>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val="en-US" w:eastAsia="zh-CN"/>
        </w:rPr>
        <w:t>债券</w:t>
      </w:r>
      <w:r>
        <w:rPr>
          <w:rFonts w:hint="eastAsia" w:ascii="仿宋_GB2312" w:hAnsi="仿宋_GB2312" w:eastAsia="仿宋_GB2312" w:cs="仿宋_GB2312"/>
          <w:b/>
          <w:sz w:val="32"/>
          <w:szCs w:val="32"/>
        </w:rPr>
        <w:t>名称：</w:t>
      </w:r>
      <w:r>
        <w:rPr>
          <w:rFonts w:hint="eastAsia" w:ascii="仿宋_GB2312" w:hAnsi="仿宋_GB2312" w:eastAsia="仿宋_GB2312" w:cs="仿宋_GB2312"/>
          <w:sz w:val="32"/>
          <w:szCs w:val="32"/>
          <w:lang w:val="en-US" w:eastAsia="zh-CN"/>
        </w:rPr>
        <w:t>许昌市建设投资有限责任公司中国银行间市场交易商协会定向债务融资工具</w:t>
      </w:r>
      <w:r>
        <w:rPr>
          <w:rFonts w:hint="eastAsia" w:ascii="仿宋_GB2312" w:hAnsi="仿宋_GB2312" w:eastAsia="仿宋_GB2312" w:cs="仿宋_GB2312"/>
          <w:b w:val="0"/>
          <w:bCs w:val="0"/>
          <w:sz w:val="32"/>
          <w:szCs w:val="32"/>
          <w:lang w:eastAsia="zh-CN"/>
        </w:rPr>
        <w:t>（具体以协会批复文件为准）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发行人：</w:t>
      </w:r>
      <w:r>
        <w:rPr>
          <w:rFonts w:hint="eastAsia" w:ascii="仿宋_GB2312" w:hAnsi="仿宋_GB2312" w:eastAsia="仿宋_GB2312" w:cs="仿宋_GB2312"/>
          <w:sz w:val="32"/>
          <w:szCs w:val="32"/>
          <w:lang w:val="en-US" w:eastAsia="zh-CN"/>
        </w:rPr>
        <w:t>许昌市建设投资有限责任公司</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发行总额：</w:t>
      </w:r>
      <w:r>
        <w:rPr>
          <w:rFonts w:hint="eastAsia" w:ascii="仿宋_GB2312" w:hAnsi="仿宋_GB2312" w:eastAsia="仿宋_GB2312" w:cs="仿宋_GB2312"/>
          <w:sz w:val="32"/>
          <w:szCs w:val="32"/>
          <w:lang w:eastAsia="zh-CN"/>
        </w:rPr>
        <w:t>总额不超过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亿</w:t>
      </w:r>
      <w:r>
        <w:rPr>
          <w:rFonts w:hint="eastAsia" w:ascii="仿宋_GB2312" w:hAnsi="仿宋_GB2312" w:eastAsia="仿宋_GB2312" w:cs="仿宋_GB2312"/>
          <w:sz w:val="32"/>
          <w:szCs w:val="32"/>
          <w:lang w:eastAsia="zh-CN"/>
        </w:rPr>
        <w:t>人民币</w:t>
      </w:r>
      <w:r>
        <w:rPr>
          <w:rFonts w:hint="eastAsia" w:ascii="仿宋_GB2312" w:hAnsi="仿宋_GB2312" w:eastAsia="仿宋_GB2312" w:cs="仿宋_GB2312"/>
          <w:sz w:val="32"/>
          <w:szCs w:val="32"/>
        </w:rPr>
        <w:t>（具体以</w:t>
      </w:r>
      <w:r>
        <w:rPr>
          <w:rFonts w:hint="eastAsia" w:ascii="仿宋_GB2312" w:hAnsi="仿宋_GB2312" w:eastAsia="仿宋_GB2312" w:cs="仿宋_GB2312"/>
          <w:sz w:val="32"/>
          <w:szCs w:val="32"/>
          <w:lang w:eastAsia="zh-CN"/>
        </w:rPr>
        <w:t>协会批复金额</w:t>
      </w:r>
      <w:r>
        <w:rPr>
          <w:rFonts w:hint="eastAsia" w:ascii="仿宋_GB2312" w:hAnsi="仿宋_GB2312" w:eastAsia="仿宋_GB2312" w:cs="仿宋_GB2312"/>
          <w:sz w:val="32"/>
          <w:szCs w:val="32"/>
        </w:rPr>
        <w:t>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债券期限：</w:t>
      </w:r>
      <w:r>
        <w:rPr>
          <w:rFonts w:hint="eastAsia" w:ascii="仿宋_GB2312" w:hAnsi="仿宋_GB2312" w:eastAsia="仿宋_GB2312" w:cs="仿宋_GB2312"/>
          <w:b w:val="0"/>
          <w:bCs/>
          <w:sz w:val="32"/>
          <w:szCs w:val="32"/>
          <w:lang w:eastAsia="zh-CN"/>
        </w:rPr>
        <w:t>不超过</w:t>
      </w:r>
      <w:r>
        <w:rPr>
          <w:rFonts w:hint="eastAsia" w:ascii="仿宋_GB2312" w:hAnsi="仿宋_GB2312" w:eastAsia="仿宋_GB2312" w:cs="仿宋_GB2312"/>
          <w:b w:val="0"/>
          <w:bCs/>
          <w:sz w:val="32"/>
          <w:szCs w:val="32"/>
          <w:lang w:val="en-US" w:eastAsia="zh-CN"/>
        </w:rPr>
        <w:t>5年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CN"/>
        </w:rPr>
        <w:t>具体以协会批复文件和实际发行结果为准）</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承销方式：</w:t>
      </w:r>
      <w:r>
        <w:rPr>
          <w:rFonts w:hint="eastAsia" w:ascii="仿宋_GB2312" w:hAnsi="仿宋_GB2312" w:eastAsia="仿宋_GB2312" w:cs="仿宋_GB2312"/>
          <w:sz w:val="32"/>
          <w:szCs w:val="32"/>
        </w:rPr>
        <w:t>余额包销</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sz w:val="32"/>
          <w:szCs w:val="32"/>
        </w:rPr>
        <w:t>发行价格：</w:t>
      </w:r>
      <w:r>
        <w:rPr>
          <w:rFonts w:hint="eastAsia" w:ascii="仿宋_GB2312" w:hAnsi="仿宋_GB2312" w:eastAsia="仿宋_GB2312" w:cs="仿宋_GB2312"/>
          <w:sz w:val="32"/>
          <w:szCs w:val="32"/>
        </w:rPr>
        <w:t>按债券面值平价发行</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询比采购</w:t>
      </w:r>
      <w:r>
        <w:rPr>
          <w:rFonts w:hint="eastAsia" w:ascii="仿宋_GB2312" w:hAnsi="仿宋_GB2312" w:eastAsia="仿宋_GB2312" w:cs="仿宋_GB2312"/>
          <w:b/>
          <w:bCs/>
          <w:sz w:val="32"/>
          <w:szCs w:val="32"/>
        </w:rPr>
        <w:t>专项法律服务</w:t>
      </w:r>
      <w:r>
        <w:rPr>
          <w:rFonts w:hint="eastAsia" w:ascii="仿宋_GB2312" w:hAnsi="仿宋_GB2312" w:eastAsia="仿宋_GB2312" w:cs="仿宋_GB2312"/>
          <w:b/>
          <w:bCs/>
          <w:sz w:val="32"/>
          <w:szCs w:val="32"/>
          <w:lang w:eastAsia="zh-CN"/>
        </w:rPr>
        <w:t>需求</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协会</w:t>
      </w:r>
      <w:r>
        <w:rPr>
          <w:rFonts w:hint="eastAsia" w:ascii="仿宋_GB2312" w:hAnsi="仿宋_GB2312" w:eastAsia="仿宋_GB2312" w:cs="仿宋_GB2312"/>
          <w:sz w:val="32"/>
          <w:szCs w:val="32"/>
        </w:rPr>
        <w:t>的要求，对发行人开展尽职调查，并出具《法律意见书》</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如有需要，须</w:t>
      </w:r>
      <w:r>
        <w:rPr>
          <w:rFonts w:hint="eastAsia" w:ascii="仿宋_GB2312" w:hAnsi="仿宋_GB2312" w:eastAsia="仿宋_GB2312" w:cs="仿宋_GB2312"/>
          <w:sz w:val="32"/>
          <w:szCs w:val="32"/>
        </w:rPr>
        <w:t>协助起草</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受托管理协议</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持有人会议规则等相关法律文件</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3、在</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发行过程中根据需要提供律师见证服务</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4、协助完成</w:t>
      </w:r>
      <w:r>
        <w:rPr>
          <w:rFonts w:hint="eastAsia" w:ascii="仿宋_GB2312" w:hAnsi="仿宋_GB2312" w:eastAsia="仿宋_GB2312" w:cs="仿宋_GB2312"/>
          <w:sz w:val="32"/>
          <w:szCs w:val="32"/>
          <w:lang w:eastAsia="zh-CN"/>
        </w:rPr>
        <w:t>协会</w:t>
      </w:r>
      <w:r>
        <w:rPr>
          <w:rFonts w:hint="eastAsia" w:ascii="仿宋_GB2312" w:hAnsi="仿宋_GB2312" w:eastAsia="仿宋_GB2312" w:cs="仿宋_GB2312"/>
          <w:sz w:val="32"/>
          <w:szCs w:val="32"/>
        </w:rPr>
        <w:t>反馈材料准备工作</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5、在</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发行过程中配合其他中介机构开展法律服务工作；依据</w:t>
      </w:r>
      <w:r>
        <w:rPr>
          <w:rFonts w:hint="eastAsia" w:ascii="仿宋_GB2312" w:hAnsi="仿宋_GB2312" w:eastAsia="仿宋_GB2312" w:cs="仿宋_GB2312"/>
          <w:sz w:val="32"/>
          <w:szCs w:val="32"/>
          <w:lang w:eastAsia="zh-CN"/>
        </w:rPr>
        <w:t>协会</w:t>
      </w:r>
      <w:r>
        <w:rPr>
          <w:rFonts w:hint="eastAsia" w:ascii="仿宋_GB2312" w:hAnsi="仿宋_GB2312" w:eastAsia="仿宋_GB2312" w:cs="仿宋_GB2312"/>
          <w:sz w:val="32"/>
          <w:szCs w:val="32"/>
        </w:rPr>
        <w:t>的要求，提供</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发行所需的其他法律服务</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发行过程中涉及的各方面法律问题，进行法律分析、风险提示并提出解决方案；在</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存续期内，提供相关法律咨询服务等。</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应具备以下条件：</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1、在中华人民共和国境内注册，具备独立法人资格，持有合法有效的企业法人营业执照；</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、持有律师事务所执业许可证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在河南省内有分支机构或办公地</w:t>
      </w:r>
      <w:r>
        <w:rPr>
          <w:rFonts w:hint="eastAsia" w:ascii="仿宋_GB2312" w:hAnsi="仿宋_GB2312" w:eastAsia="仿宋_GB2312" w:cs="仿宋_GB2312"/>
          <w:sz w:val="32"/>
          <w:szCs w:val="32"/>
          <w:lang w:eastAsia="zh-CN"/>
        </w:rPr>
        <w:t>；在协会备案且</w:t>
      </w:r>
      <w:r>
        <w:rPr>
          <w:rFonts w:hint="eastAsia" w:ascii="仿宋_GB2312" w:hAnsi="仿宋_GB2312" w:eastAsia="仿宋_GB2312" w:cs="仿宋_GB2312"/>
          <w:sz w:val="32"/>
          <w:szCs w:val="32"/>
        </w:rPr>
        <w:t>具有从事证券法律业务能力的律师事务所；</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、近三年未因重大的执业质量等问题受到通报、处罚，没有处于破产、被责令停业或存在其他违法行为；</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lang w:val="en-US" w:eastAsia="zh-CN"/>
        </w:rPr>
        <w:t>被列入经营异常名录或者严重违法失信名单、失信被执行人，重大税收违法案件当事人名单、政府采购严重违法失信行为记录名单</w:t>
      </w:r>
      <w:r>
        <w:rPr>
          <w:rFonts w:hint="eastAsia" w:ascii="仿宋_GB2312" w:hAnsi="仿宋_GB2312" w:eastAsia="仿宋_GB2312" w:cs="仿宋_GB2312"/>
          <w:sz w:val="32"/>
          <w:szCs w:val="32"/>
        </w:rPr>
        <w:t>。</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按照询比采购文件第五章要求提供。</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w:t>
      </w:r>
      <w:r>
        <w:rPr>
          <w:rFonts w:hint="eastAsia" w:ascii="仿宋_GB2312" w:hAnsi="仿宋_GB2312" w:eastAsia="仿宋_GB2312" w:cs="仿宋_GB2312"/>
          <w:sz w:val="32"/>
          <w:szCs w:val="32"/>
        </w:rPr>
        <w:t>前将</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至：许昌市建安大道东段财政综合楼许昌市</w:t>
      </w:r>
      <w:r>
        <w:rPr>
          <w:rFonts w:hint="eastAsia" w:ascii="仿宋_GB2312" w:hAnsi="仿宋_GB2312" w:eastAsia="仿宋_GB2312" w:cs="仿宋_GB2312"/>
          <w:sz w:val="32"/>
          <w:szCs w:val="32"/>
          <w:lang w:val="en-US" w:eastAsia="zh-CN"/>
        </w:rPr>
        <w:t>城投发展集团有限</w:t>
      </w:r>
      <w:bookmarkStart w:id="9" w:name="_GoBack"/>
      <w:bookmarkEnd w:id="9"/>
      <w:r>
        <w:rPr>
          <w:rFonts w:hint="eastAsia" w:ascii="仿宋_GB2312" w:hAnsi="仿宋_GB2312" w:eastAsia="仿宋_GB2312" w:cs="仿宋_GB2312"/>
          <w:sz w:val="32"/>
          <w:szCs w:val="32"/>
        </w:rPr>
        <w:t>公司（81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rPr>
        <w:t>办法</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人组成的磋商小组进行磋商确定。</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人有权选用其他律师事务所。</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八、询比采购控制价</w:t>
      </w:r>
    </w:p>
    <w:p>
      <w:pPr>
        <w:widowControl w:val="0"/>
        <w:wordWrap/>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根据第三方机构出具的控制价报告，本次债务融资工具注册发行法律服务询比采购控制价为不高于</w:t>
      </w:r>
      <w:r>
        <w:rPr>
          <w:rFonts w:hint="eastAsia" w:ascii="仿宋_GB2312" w:hAnsi="仿宋_GB2312" w:eastAsia="仿宋_GB2312" w:cs="仿宋_GB2312"/>
          <w:sz w:val="32"/>
          <w:szCs w:val="32"/>
          <w:highlight w:val="none"/>
          <w:lang w:val="en-US" w:eastAsia="zh-CN"/>
        </w:rPr>
        <w:t>45万元（单个项目不高于9万元）。</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本次询比采购公告在许昌市城投发展集团有限公司官网（网</w:t>
      </w:r>
      <w:r>
        <w:rPr>
          <w:rFonts w:hint="eastAsia" w:ascii="仿宋_GB2312" w:hAnsi="仿宋_GB2312" w:eastAsia="仿宋_GB2312" w:cs="仿宋_GB2312"/>
          <w:sz w:val="32"/>
          <w:szCs w:val="32"/>
          <w:lang w:eastAsia="zh-CN"/>
        </w:rPr>
        <w:t>站地址：www.xcsct.cn）发布。</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bookmarkStart w:id="0" w:name="_Toc28359085"/>
      <w:bookmarkEnd w:id="0"/>
      <w:bookmarkStart w:id="1" w:name="_Toc35393796"/>
      <w:bookmarkEnd w:id="1"/>
      <w:bookmarkStart w:id="2" w:name="_Toc35393627"/>
      <w:bookmarkEnd w:id="2"/>
      <w:bookmarkStart w:id="3" w:name="_Toc28359008"/>
      <w:bookmarkEnd w:id="3"/>
      <w:bookmarkStart w:id="4" w:name="_Toc35393626"/>
      <w:bookmarkEnd w:id="4"/>
      <w:bookmarkStart w:id="5" w:name="_Toc35393795"/>
      <w:bookmarkEnd w:id="5"/>
      <w:r>
        <w:rPr>
          <w:rFonts w:hint="eastAsia" w:ascii="仿宋_GB2312" w:hAnsi="仿宋_GB2312" w:eastAsia="仿宋_GB2312" w:cs="仿宋_GB2312"/>
          <w:b/>
          <w:bCs w:val="0"/>
          <w:sz w:val="32"/>
          <w:szCs w:val="32"/>
          <w:lang w:val="en-US" w:eastAsia="zh-CN"/>
        </w:rPr>
        <w:t>八、联系方式</w:t>
      </w:r>
    </w:p>
    <w:p>
      <w:pPr>
        <w:widowControl w:val="0"/>
        <w:wordWrap/>
        <w:adjustRightInd/>
        <w:snapToGrid/>
        <w:spacing w:line="58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询比采购人</w:t>
      </w:r>
      <w:r>
        <w:rPr>
          <w:rFonts w:hint="eastAsia" w:ascii="仿宋_GB2312" w:hAnsi="仿宋_GB2312" w:eastAsia="仿宋_GB2312" w:cs="仿宋_GB2312"/>
          <w:b w:val="0"/>
          <w:bCs/>
          <w:sz w:val="32"/>
          <w:szCs w:val="32"/>
          <w:lang w:eastAsia="zh-CN"/>
        </w:rPr>
        <w:t>：许昌市城投发展集团有限公司</w:t>
      </w:r>
    </w:p>
    <w:p>
      <w:pPr>
        <w:widowControl w:val="0"/>
        <w:wordWrap/>
        <w:adjustRightInd/>
        <w:snapToGrid/>
        <w:spacing w:line="580" w:lineRule="exact"/>
        <w:ind w:firstLine="72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eastAsia="zh-CN"/>
        </w:rPr>
        <w:t>地</w:t>
      </w:r>
      <w:r>
        <w:rPr>
          <w:rFonts w:hint="eastAsia" w:ascii="仿宋_GB2312" w:hAnsi="仿宋_GB2312" w:eastAsia="仿宋_GB2312" w:cs="仿宋_GB2312"/>
          <w:b w:val="0"/>
          <w:bCs/>
          <w:spacing w:val="20"/>
          <w:sz w:val="32"/>
          <w:szCs w:val="32"/>
          <w:lang w:eastAsia="zh-CN"/>
        </w:rPr>
        <w:t xml:space="preserve">    </w:t>
      </w:r>
      <w:r>
        <w:rPr>
          <w:rFonts w:hint="eastAsia" w:ascii="仿宋_GB2312" w:hAnsi="仿宋_GB2312" w:eastAsia="仿宋_GB2312" w:cs="仿宋_GB2312"/>
          <w:b w:val="0"/>
          <w:bCs/>
          <w:spacing w:val="20"/>
          <w:sz w:val="32"/>
          <w:szCs w:val="32"/>
          <w:lang w:eastAsia="zh-CN"/>
        </w:rPr>
        <w:t>址：</w:t>
      </w:r>
      <w:r>
        <w:rPr>
          <w:rFonts w:hint="eastAsia" w:ascii="仿宋_GB2312" w:hAnsi="仿宋_GB2312" w:eastAsia="仿宋_GB2312" w:cs="仿宋_GB2312"/>
          <w:b w:val="0"/>
          <w:bCs/>
          <w:sz w:val="32"/>
          <w:szCs w:val="32"/>
          <w:lang w:eastAsia="zh-CN"/>
        </w:rPr>
        <w:t>许昌市建安大道东段财政综合大楼</w:t>
      </w:r>
      <w:r>
        <w:rPr>
          <w:rFonts w:hint="eastAsia" w:ascii="仿宋_GB2312" w:hAnsi="仿宋_GB2312" w:eastAsia="仿宋_GB2312" w:cs="仿宋_GB2312"/>
          <w:b w:val="0"/>
          <w:bCs/>
          <w:sz w:val="32"/>
          <w:szCs w:val="32"/>
          <w:lang w:val="en-US" w:eastAsia="zh-CN"/>
        </w:rPr>
        <w:t>816房间</w:t>
      </w:r>
    </w:p>
    <w:p>
      <w:pPr>
        <w:widowControl w:val="0"/>
        <w:wordWrap/>
        <w:adjustRightInd/>
        <w:snapToGrid/>
        <w:spacing w:line="580" w:lineRule="exact"/>
        <w:ind w:firstLine="72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pacing w:val="20"/>
          <w:sz w:val="32"/>
          <w:szCs w:val="32"/>
          <w:lang w:eastAsia="zh-CN"/>
        </w:rPr>
        <w:t>联 系 人：</w:t>
      </w:r>
      <w:r>
        <w:rPr>
          <w:rFonts w:hint="eastAsia" w:ascii="仿宋_GB2312" w:hAnsi="仿宋_GB2312" w:eastAsia="仿宋_GB2312" w:cs="仿宋_GB2312"/>
          <w:b w:val="0"/>
          <w:bCs/>
          <w:sz w:val="32"/>
          <w:szCs w:val="32"/>
          <w:lang w:val="en-US" w:eastAsia="zh-CN"/>
        </w:rPr>
        <w:t xml:space="preserve">白先生   </w:t>
      </w:r>
      <w:r>
        <w:rPr>
          <w:rFonts w:hint="eastAsia" w:ascii="仿宋_GB2312" w:hAnsi="仿宋_GB2312" w:eastAsia="仿宋_GB2312" w:cs="仿宋_GB2312"/>
          <w:b w:val="0"/>
          <w:bCs/>
          <w:sz w:val="32"/>
          <w:szCs w:val="32"/>
          <w:lang w:eastAsia="zh-CN"/>
        </w:rPr>
        <w:t xml:space="preserve">        </w:t>
      </w:r>
    </w:p>
    <w:p>
      <w:pPr>
        <w:widowControl w:val="0"/>
        <w:wordWrap/>
        <w:adjustRightInd/>
        <w:snapToGrid/>
        <w:spacing w:line="580" w:lineRule="exact"/>
        <w:ind w:firstLine="72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eastAsia="zh-CN"/>
        </w:rPr>
        <w:t>联系电话：</w:t>
      </w:r>
      <w:r>
        <w:rPr>
          <w:rFonts w:hint="eastAsia" w:ascii="仿宋_GB2312" w:hAnsi="仿宋_GB2312" w:eastAsia="仿宋_GB2312" w:cs="仿宋_GB2312"/>
          <w:b w:val="0"/>
          <w:bCs/>
          <w:sz w:val="32"/>
          <w:szCs w:val="32"/>
          <w:lang w:val="en-US" w:eastAsia="zh-CN"/>
        </w:rPr>
        <w:t>0374-2699026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36"/>
        <w:rPr>
          <w:rFonts w:hint="eastAsia" w:ascii="仿宋" w:hAnsi="仿宋" w:eastAsia="仿宋" w:cs="仿宋"/>
          <w:b/>
          <w:bCs/>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TW"/>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、本项目需实现的功能或者目标</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询比采购人本次询比采购的债务融资工具注册、发行提供专项法律服务，保证出具的债务融资工具《法律意见书》符合中国银行间市场交易商协会对债务融资工具注册、发行审核要求，债务融资工具存续期内，对债务融资工具提供其他必要法律服务。</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协会</w:t>
      </w:r>
      <w:r>
        <w:rPr>
          <w:rFonts w:hint="eastAsia" w:ascii="仿宋_GB2312" w:hAnsi="仿宋_GB2312" w:eastAsia="仿宋_GB2312" w:cs="仿宋_GB2312"/>
          <w:sz w:val="32"/>
          <w:szCs w:val="32"/>
        </w:rPr>
        <w:t>的要求，对发行人开展尽职调查，并出具《法律意见书》</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如有需要，须</w:t>
      </w:r>
      <w:r>
        <w:rPr>
          <w:rFonts w:hint="eastAsia" w:ascii="仿宋_GB2312" w:hAnsi="仿宋_GB2312" w:eastAsia="仿宋_GB2312" w:cs="仿宋_GB2312"/>
          <w:sz w:val="32"/>
          <w:szCs w:val="32"/>
        </w:rPr>
        <w:t>协助起草</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受托管理协议</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持有人会议规则等相关法律文件</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3、在</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发行过程中根据需要提供律师见证服务</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4、协助完成</w:t>
      </w:r>
      <w:r>
        <w:rPr>
          <w:rFonts w:hint="eastAsia" w:ascii="仿宋_GB2312" w:hAnsi="仿宋_GB2312" w:eastAsia="仿宋_GB2312" w:cs="仿宋_GB2312"/>
          <w:sz w:val="32"/>
          <w:szCs w:val="32"/>
          <w:lang w:eastAsia="zh-CN"/>
        </w:rPr>
        <w:t>协会</w:t>
      </w:r>
      <w:r>
        <w:rPr>
          <w:rFonts w:hint="eastAsia" w:ascii="仿宋_GB2312" w:hAnsi="仿宋_GB2312" w:eastAsia="仿宋_GB2312" w:cs="仿宋_GB2312"/>
          <w:sz w:val="32"/>
          <w:szCs w:val="32"/>
        </w:rPr>
        <w:t>反馈材料准备工作</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5、在</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发行过程中配合其他中介机构开展法律服务工作；依据</w:t>
      </w:r>
      <w:r>
        <w:rPr>
          <w:rFonts w:hint="eastAsia" w:ascii="仿宋_GB2312" w:hAnsi="仿宋_GB2312" w:eastAsia="仿宋_GB2312" w:cs="仿宋_GB2312"/>
          <w:sz w:val="32"/>
          <w:szCs w:val="32"/>
          <w:lang w:eastAsia="zh-CN"/>
        </w:rPr>
        <w:t>协会</w:t>
      </w:r>
      <w:r>
        <w:rPr>
          <w:rFonts w:hint="eastAsia" w:ascii="仿宋_GB2312" w:hAnsi="仿宋_GB2312" w:eastAsia="仿宋_GB2312" w:cs="仿宋_GB2312"/>
          <w:sz w:val="32"/>
          <w:szCs w:val="32"/>
        </w:rPr>
        <w:t>的要求，提供</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发行所需的其他法律服务</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发行过程中涉及的各方面法律问题，进行法律分析、风险提示并提出解决方案；在</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rPr>
        <w:t>存续期内，提供相关法律咨询服务等。</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服务内容中所列要求为最低要求，不允许负偏离，否则将承担其投标被视为非实质性响应投标的风险。</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TW"/>
        </w:rPr>
        <w:t>服务标准、期限、效率等要求</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根据每期债务融资工具注册、发行时间要求在规定时间内完成《法律意见书》出具（更新）工作，不得因《法律意见书》原因导致债务融资工具延迟（长）注册、发行时间。</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以上技术要求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询比采购人</w:t>
      </w:r>
      <w:r>
        <w:rPr>
          <w:rFonts w:hint="eastAsia" w:ascii="仿宋_GB2312" w:hAnsi="仿宋_GB2312" w:eastAsia="仿宋_GB2312" w:cs="仿宋_GB2312"/>
          <w:sz w:val="32"/>
          <w:szCs w:val="32"/>
          <w:lang w:eastAsia="zh-TW"/>
        </w:rPr>
        <w:t>造成经济损失的，应当依法赔偿</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TW"/>
        </w:rPr>
        <w:t>釆购标的的其他技术、服务等要求</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TW"/>
        </w:rPr>
        <w:t>项目（每包或者标段）完整投标。</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TW"/>
        </w:rPr>
        <w:t>本项目为交钥匙工程，包含</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lang w:eastAsia="zh-TW"/>
        </w:rPr>
        <w:t>注册、发行等完成该项目</w:t>
      </w:r>
      <w:r>
        <w:rPr>
          <w:rFonts w:hint="eastAsia" w:ascii="仿宋_GB2312" w:hAnsi="仿宋_GB2312" w:eastAsia="仿宋_GB2312" w:cs="仿宋_GB2312"/>
          <w:sz w:val="32"/>
          <w:szCs w:val="32"/>
          <w:lang w:eastAsia="zh-CN"/>
        </w:rPr>
        <w:t>所需法律服务</w:t>
      </w:r>
      <w:r>
        <w:rPr>
          <w:rFonts w:hint="eastAsia" w:ascii="仿宋_GB2312" w:hAnsi="仿宋_GB2312" w:eastAsia="仿宋_GB2312" w:cs="仿宋_GB2312"/>
          <w:sz w:val="32"/>
          <w:szCs w:val="32"/>
          <w:lang w:eastAsia="zh-TW"/>
        </w:rPr>
        <w:t>的一切费用。</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验收标准</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一是获得债务融资工具《接受注册通知书》，二是债务融资工具</w:t>
      </w:r>
      <w:r>
        <w:rPr>
          <w:rFonts w:hint="eastAsia" w:ascii="仿宋_GB2312" w:hAnsi="仿宋_GB2312" w:eastAsia="仿宋_GB2312" w:cs="仿宋_GB2312"/>
          <w:sz w:val="32"/>
          <w:szCs w:val="32"/>
          <w:lang w:eastAsia="zh-TW"/>
        </w:rPr>
        <w:t>募集资金按合同约定划入发行人监管银行账户后</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sz w:val="32"/>
          <w:szCs w:val="32"/>
          <w:lang w:val="zh-CN" w:eastAsia="zh-CN"/>
        </w:rPr>
        <w:t>本项目单项法律服务费最高限价为</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eastAsia="zh-CN"/>
        </w:rPr>
        <w:t>，超出最高限价的投标报价无效。</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val="zh-CN" w:eastAsia="zh-CN"/>
        </w:rPr>
        <w:t>资金支付</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支付时间及条件：根据签订的《债务融资工具法律服务合同》约定执行。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W w:w="98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1986"/>
        <w:gridCol w:w="7148"/>
      </w:tblGrid>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highlight w:val="none"/>
                <w:lang w:val="en-US" w:eastAsia="zh-CN"/>
              </w:rPr>
              <w:t>许昌市城投发展集团有限公司2023年中国银行间市场交易商协会债务融资工具注册发行法律服务</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RZB-2023001</w:t>
            </w:r>
            <w:r>
              <w:rPr>
                <w:rFonts w:hint="eastAsia" w:ascii="仿宋" w:hAnsi="仿宋" w:eastAsia="仿宋" w:cs="仿宋"/>
                <w:color w:val="auto"/>
                <w:sz w:val="24"/>
                <w:szCs w:val="24"/>
                <w:lang w:eastAsia="zh-CN"/>
              </w:rPr>
              <w:t xml:space="preserve">号 </w:t>
            </w:r>
          </w:p>
          <w:p>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zh-CN" w:eastAsia="zh-CN"/>
              </w:rPr>
              <w:t>为询比采购人本次询比采购的债务融资工具注册、发行提供专项法律服务，保证出具的债务融资工具《法律意见书》符合中国银行间市场交易商协会对债务融资工具注册、发行审核要求，债务融资工具存续期内，对债务融资工具提供法律服务。</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联 系 人：白先生           </w:t>
            </w:r>
          </w:p>
          <w:p>
            <w:pPr>
              <w:autoSpaceDE w:val="0"/>
              <w:autoSpaceDN w:val="0"/>
              <w:adjustRightInd w:val="0"/>
              <w:spacing w:line="540" w:lineRule="exact"/>
              <w:ind w:right="-11"/>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pPr>
              <w:numPr>
                <w:ilvl w:val="0"/>
                <w:numId w:val="4"/>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spacing w:line="360"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1、在中华人民共和国境内注册，具备独立法人资格，持有合法有效的企业法人营业执照；</w:t>
            </w:r>
          </w:p>
          <w:p>
            <w:pPr>
              <w:spacing w:line="360"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、持有律师事务所执业许可证</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在河南省内有分支机构或办公地</w:t>
            </w:r>
            <w:r>
              <w:rPr>
                <w:rFonts w:hint="eastAsia" w:ascii="仿宋" w:hAnsi="仿宋" w:eastAsia="仿宋" w:cs="仿宋"/>
                <w:color w:val="auto"/>
                <w:sz w:val="24"/>
                <w:szCs w:val="24"/>
                <w:lang w:val="zh-CN" w:eastAsia="zh-CN"/>
              </w:rPr>
              <w:t>；在协会备案且</w:t>
            </w:r>
            <w:r>
              <w:rPr>
                <w:rFonts w:hint="eastAsia" w:ascii="仿宋" w:hAnsi="仿宋" w:eastAsia="仿宋" w:cs="仿宋"/>
                <w:color w:val="auto"/>
                <w:sz w:val="24"/>
                <w:szCs w:val="24"/>
                <w:lang w:val="zh-CN"/>
              </w:rPr>
              <w:t>具有从事证券法律业务能力的律师事务所；</w:t>
            </w:r>
          </w:p>
          <w:p>
            <w:pPr>
              <w:spacing w:line="360"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、近三年未因重大的执业质量等问题受到通报、处罚，没有处于破产、被责令停业或存在其他违法行为；</w:t>
            </w:r>
          </w:p>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未被列入经营异常名录或者严重违法失信名单、失信被执行人，重大税收违法案件当事人名单、政府采购严重违法失信行为记录名单。</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法律服务费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autoSpaceDE w:val="0"/>
              <w:autoSpaceDN w:val="0"/>
              <w:adjustRightInd w:val="0"/>
              <w:spacing w:line="540" w:lineRule="exact"/>
              <w:rPr>
                <w:rFonts w:hint="eastAsia" w:ascii="仿宋" w:hAnsi="仿宋" w:eastAsia="仿宋" w:cs="仿宋"/>
                <w:color w:val="auto"/>
                <w:sz w:val="24"/>
                <w:szCs w:val="24"/>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lang w:val="zh-CN" w:eastAsia="zh-CN"/>
              </w:rPr>
              <w:t>本项目单项法律服务费最高限价为</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lang w:val="en-US" w:eastAsia="zh-CN"/>
              </w:rPr>
              <w:t>万元</w:t>
            </w:r>
            <w:r>
              <w:rPr>
                <w:rFonts w:hint="eastAsia" w:ascii="仿宋" w:hAnsi="仿宋" w:eastAsia="仿宋" w:cs="仿宋"/>
                <w:color w:val="auto"/>
                <w:sz w:val="24"/>
                <w:szCs w:val="24"/>
                <w:lang w:val="zh-CN" w:eastAsia="zh-CN"/>
              </w:rPr>
              <w:t>，超出最高限价的投标报价无效。</w:t>
            </w:r>
          </w:p>
          <w:p>
            <w:pPr>
              <w:numPr>
                <w:ilvl w:val="0"/>
                <w:numId w:val="5"/>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eastAsia="zh-CN"/>
              </w:rPr>
              <w:t>分项报价。</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separate"/>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separate"/>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separate"/>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separate"/>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val="zh-CN"/>
              </w:rPr>
              <w:t>分（北京时间）</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color w:val="auto"/>
                <w:sz w:val="24"/>
                <w:szCs w:val="24"/>
                <w:lang w:eastAsia="zh-CN"/>
              </w:rPr>
              <w:t>许昌市城投发展集团有限公司</w:t>
            </w:r>
            <w:r>
              <w:rPr>
                <w:rFonts w:hint="eastAsia" w:ascii="仿宋" w:hAnsi="仿宋" w:eastAsia="仿宋" w:cs="仿宋"/>
                <w:color w:val="auto"/>
                <w:sz w:val="24"/>
                <w:szCs w:val="24"/>
                <w:lang w:val="en-US" w:eastAsia="zh-CN"/>
              </w:rPr>
              <w:t>8楼816房间</w:t>
            </w:r>
            <w:r>
              <w:rPr>
                <w:rFonts w:hint="eastAsia" w:ascii="仿宋" w:hAnsi="仿宋" w:eastAsia="仿宋" w:cs="仿宋"/>
                <w:color w:val="auto"/>
                <w:sz w:val="24"/>
                <w:szCs w:val="24"/>
                <w:lang w:val="zh-CN"/>
              </w:rPr>
              <w:t>。</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val="zh-CN"/>
              </w:rPr>
              <w:t>纸质投标文件：纸质版投标文件正本1份（需胶装）</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numPr>
                <w:numId w:val="0"/>
              </w:numPr>
              <w:wordWrap/>
              <w:autoSpaceDE w:val="0"/>
              <w:autoSpaceDN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评审小组对对投标人资格进行检查。</w:t>
      </w:r>
      <w:r>
        <w:rPr>
          <w:rFonts w:hint="eastAsia" w:ascii="仿宋_GB2312" w:hAnsi="仿宋_GB2312" w:eastAsia="仿宋_GB2312" w:cs="仿宋_GB2312"/>
          <w:sz w:val="32"/>
          <w:szCs w:val="32"/>
          <w:lang w:val="zh-CN" w:eastAsia="zh-CN"/>
        </w:rPr>
        <w:t>确定符合资格的投标人不少于3家后对投标文件进行符合性审查。</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（2）资格审查中所涉及到的证书及材料，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trPr>
          <w:trHeight w:val="794" w:hRule="atLeast"/>
        </w:trPr>
        <w:tc>
          <w:tcPr>
            <w:tcW w:w="1590" w:type="dxa"/>
            <w:vAlign w:val="center"/>
          </w:tcPr>
          <w:p>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vAlign w:val="center"/>
          </w:tcPr>
          <w:p>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vAlign w:val="center"/>
          </w:tcPr>
          <w:p>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vAlign w:val="center"/>
          </w:tcPr>
          <w:p>
            <w:pPr>
              <w:tabs>
                <w:tab w:val="left" w:pos="622"/>
              </w:tabs>
              <w:jc w:val="center"/>
              <w:rPr>
                <w:rFonts w:hint="eastAsia" w:ascii="宋体" w:hAnsi="宋体"/>
                <w:b/>
                <w:sz w:val="30"/>
                <w:szCs w:val="30"/>
              </w:rPr>
            </w:pPr>
            <w:r>
              <w:rPr>
                <w:rFonts w:hint="eastAsia" w:ascii="宋体" w:hAnsi="宋体"/>
                <w:b/>
                <w:sz w:val="30"/>
                <w:szCs w:val="30"/>
              </w:rPr>
              <w:t>得分</w:t>
            </w:r>
          </w:p>
        </w:tc>
      </w:tr>
      <w:tr>
        <w:trPr>
          <w:trHeight w:val="1725" w:hRule="atLeast"/>
        </w:trPr>
        <w:tc>
          <w:tcPr>
            <w:tcW w:w="1590" w:type="dxa"/>
            <w:vAlign w:val="center"/>
          </w:tcPr>
          <w:p>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询比采购</w:t>
            </w:r>
            <w:r>
              <w:rPr>
                <w:rFonts w:hint="eastAsia" w:ascii="宋体" w:hAnsi="宋体"/>
                <w:b/>
                <w:sz w:val="28"/>
                <w:szCs w:val="28"/>
              </w:rPr>
              <w:t>报价</w:t>
            </w:r>
          </w:p>
        </w:tc>
        <w:tc>
          <w:tcPr>
            <w:tcW w:w="1353" w:type="dxa"/>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rPr>
              <w:t>50分</w:t>
            </w:r>
          </w:p>
        </w:tc>
        <w:tc>
          <w:tcPr>
            <w:tcW w:w="4004" w:type="dxa"/>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rPr>
              <w:t>1.收费超过</w:t>
            </w:r>
            <w:r>
              <w:rPr>
                <w:rFonts w:hint="eastAsia" w:ascii="宋体" w:hAnsi="宋体" w:cs="宋体"/>
                <w:color w:val="000000"/>
                <w:kern w:val="0"/>
                <w:sz w:val="28"/>
                <w:szCs w:val="28"/>
                <w:lang w:val="en-US" w:eastAsia="zh-CN"/>
              </w:rPr>
              <w:t>9</w:t>
            </w:r>
            <w:r>
              <w:rPr>
                <w:rFonts w:hint="eastAsia" w:ascii="宋体" w:hAnsi="宋体" w:cs="宋体"/>
                <w:color w:val="000000"/>
                <w:kern w:val="0"/>
                <w:sz w:val="28"/>
                <w:szCs w:val="28"/>
                <w:lang/>
              </w:rPr>
              <w:t>万元为无效报价；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rPr>
              <w:t>2.所有参与的</w:t>
            </w:r>
            <w:r>
              <w:rPr>
                <w:rFonts w:hint="eastAsia" w:ascii="宋体" w:hAnsi="宋体" w:cs="宋体"/>
                <w:color w:val="000000"/>
                <w:kern w:val="0"/>
                <w:sz w:val="28"/>
                <w:szCs w:val="28"/>
                <w:lang w:eastAsia="zh-CN"/>
              </w:rPr>
              <w:t>询比采购</w:t>
            </w:r>
            <w:r>
              <w:rPr>
                <w:rFonts w:hint="eastAsia" w:ascii="宋体" w:hAnsi="宋体" w:cs="宋体"/>
                <w:color w:val="000000"/>
                <w:kern w:val="0"/>
                <w:sz w:val="28"/>
                <w:szCs w:val="28"/>
                <w:lang/>
              </w:rPr>
              <w:t>申请人最低的有效报价为基准报价；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rPr>
              <w:t>3.报价得分=（基准报价/报价）×50分。</w:t>
            </w:r>
          </w:p>
        </w:tc>
        <w:tc>
          <w:tcPr>
            <w:tcW w:w="1575" w:type="dxa"/>
            <w:vAlign w:val="center"/>
          </w:tcPr>
          <w:p>
            <w:pPr>
              <w:tabs>
                <w:tab w:val="left" w:pos="622"/>
              </w:tabs>
              <w:jc w:val="center"/>
              <w:rPr>
                <w:rFonts w:hint="eastAsia" w:ascii="宋体" w:hAnsi="宋体"/>
                <w:sz w:val="24"/>
              </w:rPr>
            </w:pPr>
          </w:p>
        </w:tc>
      </w:tr>
      <w:tr>
        <w:trPr>
          <w:trHeight w:val="1671" w:hRule="atLeast"/>
        </w:trPr>
        <w:tc>
          <w:tcPr>
            <w:tcW w:w="1590" w:type="dxa"/>
            <w:vAlign w:val="center"/>
          </w:tcPr>
          <w:p>
            <w:pPr>
              <w:tabs>
                <w:tab w:val="left" w:pos="622"/>
              </w:tabs>
              <w:spacing w:line="440" w:lineRule="exact"/>
              <w:jc w:val="center"/>
              <w:rPr>
                <w:rFonts w:hint="eastAsia" w:ascii="宋体" w:hAnsi="宋体" w:cs="宋体"/>
                <w:b/>
                <w:color w:val="000000"/>
                <w:kern w:val="0"/>
                <w:sz w:val="28"/>
                <w:szCs w:val="28"/>
                <w:lang/>
              </w:rPr>
            </w:pPr>
            <w:r>
              <w:rPr>
                <w:rFonts w:hint="eastAsia" w:ascii="宋体" w:hAnsi="宋体" w:cs="Times New Roman"/>
                <w:b/>
                <w:sz w:val="28"/>
                <w:szCs w:val="28"/>
                <w:lang w:val="en-US" w:eastAsia="zh-CN"/>
              </w:rPr>
              <w:t>律师服务团队人员</w:t>
            </w:r>
          </w:p>
        </w:tc>
        <w:tc>
          <w:tcPr>
            <w:tcW w:w="1353" w:type="dxa"/>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vAlign w:val="center"/>
          </w:tcPr>
          <w:p>
            <w:pPr>
              <w:tabs>
                <w:tab w:val="left" w:pos="622"/>
              </w:tabs>
              <w:spacing w:line="440" w:lineRule="exact"/>
              <w:jc w:val="left"/>
              <w:rPr>
                <w:rFonts w:hint="default" w:ascii="宋体" w:hAnsi="宋体" w:eastAsia="仿宋_GB2312" w:cs="宋体"/>
                <w:color w:val="000000"/>
                <w:kern w:val="0"/>
                <w:sz w:val="28"/>
                <w:szCs w:val="28"/>
                <w:lang w:val="en-US" w:eastAsia="zh-CN"/>
              </w:rPr>
            </w:pPr>
            <w:r>
              <w:rPr>
                <w:rFonts w:hint="eastAsia" w:ascii="宋体" w:hAnsi="宋体" w:cs="宋体"/>
                <w:color w:val="000000"/>
                <w:kern w:val="0"/>
                <w:sz w:val="28"/>
                <w:szCs w:val="28"/>
                <w:lang w:val="en-US" w:eastAsia="zh-CN"/>
              </w:rPr>
              <w:t>律师服务团队成员每有1人得10分，最高20分</w:t>
            </w:r>
            <w:r>
              <w:rPr>
                <w:rFonts w:hint="eastAsia" w:ascii="宋体" w:hAnsi="宋体" w:eastAsia="宋体" w:cs="宋体"/>
                <w:color w:val="000000"/>
                <w:kern w:val="0"/>
                <w:sz w:val="28"/>
                <w:szCs w:val="28"/>
                <w:lang w:val="en-US" w:eastAsia="zh-CN"/>
              </w:rPr>
              <w:t>。</w:t>
            </w:r>
          </w:p>
        </w:tc>
        <w:tc>
          <w:tcPr>
            <w:tcW w:w="1575" w:type="dxa"/>
            <w:vAlign w:val="center"/>
          </w:tcPr>
          <w:p>
            <w:pPr>
              <w:tabs>
                <w:tab w:val="left" w:pos="622"/>
              </w:tabs>
              <w:jc w:val="center"/>
              <w:rPr>
                <w:rFonts w:hint="eastAsia" w:ascii="宋体" w:hAnsi="宋体"/>
                <w:sz w:val="24"/>
              </w:rPr>
            </w:pPr>
          </w:p>
        </w:tc>
      </w:tr>
      <w:tr>
        <w:trPr>
          <w:trHeight w:val="2403" w:hRule="atLeast"/>
        </w:trPr>
        <w:tc>
          <w:tcPr>
            <w:tcW w:w="1590" w:type="dxa"/>
            <w:vAlign w:val="center"/>
          </w:tcPr>
          <w:p>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rPr>
              <w:t>服务方案</w:t>
            </w:r>
          </w:p>
        </w:tc>
        <w:tc>
          <w:tcPr>
            <w:tcW w:w="1353" w:type="dxa"/>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15</w:t>
            </w:r>
            <w:r>
              <w:rPr>
                <w:rFonts w:hint="eastAsia" w:ascii="宋体" w:hAnsi="宋体"/>
                <w:sz w:val="28"/>
                <w:szCs w:val="28"/>
              </w:rPr>
              <w:t>分</w:t>
            </w:r>
          </w:p>
        </w:tc>
        <w:tc>
          <w:tcPr>
            <w:tcW w:w="4004" w:type="dxa"/>
            <w:vAlign w:val="center"/>
          </w:tcPr>
          <w:p>
            <w:pPr>
              <w:tabs>
                <w:tab w:val="left" w:pos="622"/>
              </w:tabs>
              <w:spacing w:line="440" w:lineRule="exact"/>
              <w:jc w:val="left"/>
              <w:rPr>
                <w:rFonts w:hint="default" w:ascii="宋体" w:hAnsi="宋体" w:eastAsia="宋体"/>
                <w:sz w:val="28"/>
                <w:szCs w:val="28"/>
                <w:lang w:val="en-US" w:eastAsia="zh-CN"/>
              </w:rPr>
            </w:pPr>
            <w:r>
              <w:rPr>
                <w:rFonts w:hint="eastAsia" w:ascii="宋体" w:hAnsi="宋体"/>
                <w:sz w:val="28"/>
                <w:szCs w:val="28"/>
                <w:lang w:eastAsia="zh-CN"/>
              </w:rPr>
              <w:t>提供债务融资工具法律服务方案的得</w:t>
            </w:r>
            <w:r>
              <w:rPr>
                <w:rFonts w:hint="eastAsia" w:ascii="宋体" w:hAnsi="宋体"/>
                <w:sz w:val="28"/>
                <w:szCs w:val="28"/>
                <w:lang w:val="en-US" w:eastAsia="zh-CN"/>
              </w:rPr>
              <w:t>15分，没有不得分。</w:t>
            </w:r>
          </w:p>
        </w:tc>
        <w:tc>
          <w:tcPr>
            <w:tcW w:w="1575" w:type="dxa"/>
            <w:vAlign w:val="center"/>
          </w:tcPr>
          <w:p>
            <w:pPr>
              <w:tabs>
                <w:tab w:val="left" w:pos="622"/>
              </w:tabs>
              <w:jc w:val="center"/>
              <w:rPr>
                <w:rFonts w:hint="eastAsia" w:ascii="宋体" w:hAnsi="宋体"/>
                <w:sz w:val="24"/>
              </w:rPr>
            </w:pPr>
          </w:p>
        </w:tc>
      </w:tr>
      <w:tr>
        <w:trPr>
          <w:trHeight w:val="2403" w:hRule="atLeast"/>
        </w:trPr>
        <w:tc>
          <w:tcPr>
            <w:tcW w:w="1590" w:type="dxa"/>
            <w:vAlign w:val="center"/>
          </w:tcPr>
          <w:p>
            <w:pPr>
              <w:tabs>
                <w:tab w:val="left" w:pos="622"/>
              </w:tabs>
              <w:spacing w:line="440" w:lineRule="exact"/>
              <w:jc w:val="center"/>
              <w:rPr>
                <w:rFonts w:hint="eastAsia" w:ascii="宋体" w:hAnsi="宋体" w:eastAsia="宋体" w:cs="宋体"/>
                <w:b/>
                <w:color w:val="000000"/>
                <w:kern w:val="0"/>
                <w:sz w:val="28"/>
                <w:szCs w:val="28"/>
                <w:lang w:eastAsia="zh-CN"/>
              </w:rPr>
            </w:pPr>
            <w:r>
              <w:rPr>
                <w:rFonts w:hint="eastAsia" w:ascii="宋体" w:hAnsi="宋体" w:cs="宋体"/>
                <w:b/>
                <w:color w:val="000000"/>
                <w:kern w:val="0"/>
                <w:sz w:val="28"/>
                <w:szCs w:val="28"/>
                <w:lang w:eastAsia="zh-CN"/>
              </w:rPr>
              <w:t>债券法律服务业绩</w:t>
            </w:r>
          </w:p>
        </w:tc>
        <w:tc>
          <w:tcPr>
            <w:tcW w:w="1353" w:type="dxa"/>
            <w:vAlign w:val="center"/>
          </w:tcPr>
          <w:p>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15分</w:t>
            </w:r>
          </w:p>
        </w:tc>
        <w:tc>
          <w:tcPr>
            <w:tcW w:w="4004" w:type="dxa"/>
            <w:vAlign w:val="center"/>
          </w:tcPr>
          <w:p>
            <w:pPr>
              <w:tabs>
                <w:tab w:val="left" w:pos="622"/>
              </w:tabs>
              <w:spacing w:line="440" w:lineRule="exact"/>
              <w:jc w:val="left"/>
              <w:rPr>
                <w:rFonts w:hint="default" w:ascii="宋体" w:hAnsi="宋体"/>
                <w:sz w:val="28"/>
                <w:szCs w:val="28"/>
                <w:lang w:val="en-US" w:eastAsia="zh-CN"/>
              </w:rPr>
            </w:pPr>
            <w:r>
              <w:rPr>
                <w:rFonts w:hint="eastAsia" w:ascii="宋体" w:hAnsi="宋体"/>
                <w:sz w:val="28"/>
                <w:szCs w:val="28"/>
                <w:lang w:eastAsia="zh-CN"/>
              </w:rPr>
              <w:t>每提供一份债券法律服务合同得</w:t>
            </w:r>
            <w:r>
              <w:rPr>
                <w:rFonts w:hint="eastAsia" w:ascii="宋体" w:hAnsi="宋体"/>
                <w:sz w:val="28"/>
                <w:szCs w:val="28"/>
                <w:lang w:val="en-US" w:eastAsia="zh-CN"/>
              </w:rPr>
              <w:t>5分，最高15分。</w:t>
            </w:r>
          </w:p>
        </w:tc>
        <w:tc>
          <w:tcPr>
            <w:tcW w:w="1575" w:type="dxa"/>
            <w:vAlign w:val="center"/>
          </w:tcPr>
          <w:p>
            <w:pPr>
              <w:tabs>
                <w:tab w:val="left" w:pos="622"/>
              </w:tabs>
              <w:jc w:val="center"/>
              <w:rPr>
                <w:rFonts w:hint="eastAsia" w:ascii="宋体" w:hAnsi="宋体"/>
                <w:sz w:val="24"/>
              </w:rPr>
            </w:pPr>
          </w:p>
        </w:tc>
      </w:tr>
      <w:tr>
        <w:trPr>
          <w:trHeight w:val="794" w:hRule="atLeast"/>
        </w:trPr>
        <w:tc>
          <w:tcPr>
            <w:tcW w:w="1590" w:type="dxa"/>
            <w:vAlign w:val="center"/>
          </w:tcPr>
          <w:p>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vAlign w:val="center"/>
          </w:tcPr>
          <w:p>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vAlign w:val="center"/>
          </w:tcPr>
          <w:p>
            <w:pPr>
              <w:tabs>
                <w:tab w:val="left" w:pos="622"/>
              </w:tabs>
              <w:jc w:val="center"/>
              <w:rPr>
                <w:rFonts w:hint="eastAsia" w:ascii="宋体" w:hAnsi="宋体"/>
                <w:sz w:val="24"/>
              </w:rPr>
            </w:pPr>
          </w:p>
        </w:tc>
        <w:tc>
          <w:tcPr>
            <w:tcW w:w="1575" w:type="dxa"/>
            <w:vAlign w:val="center"/>
          </w:tcPr>
          <w:p>
            <w:pPr>
              <w:tabs>
                <w:tab w:val="left" w:pos="622"/>
              </w:tabs>
              <w:jc w:val="center"/>
              <w:rPr>
                <w:rFonts w:hint="eastAsia" w:ascii="宋体" w:hAnsi="宋体"/>
                <w:sz w:val="24"/>
              </w:rPr>
            </w:pPr>
          </w:p>
        </w:tc>
      </w:tr>
    </w:tbl>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名中标候选人，并编写询比采购报告。评审得分相同的，由评审小组磋商确定中标候选人。</w:t>
      </w:r>
    </w:p>
    <w:p>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lang w:val="en-US" w:eastAsia="zh-CN"/>
        </w:rPr>
        <w:t>询比采购</w:t>
      </w:r>
      <w:r>
        <w:rPr>
          <w:rFonts w:hint="eastAsia" w:ascii="仿宋_GB2312" w:hAnsi="仿宋_GB2312" w:eastAsia="仿宋_GB2312" w:cs="仿宋_GB2312"/>
          <w:sz w:val="32"/>
          <w:szCs w:val="32"/>
          <w:lang w:val="zh-CN" w:eastAsia="zh-CN"/>
        </w:rPr>
        <w:t>程序继续进行。对询比采购报告有异议的评审小组成员，应当在报告上签署不同意见并说明理由。</w:t>
      </w:r>
    </w:p>
    <w:p>
      <w:pPr>
        <w:widowControl w:val="0"/>
        <w:wordWrap/>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20"/>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41"/>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4023138"/>
      <w:bookmarkStart w:id="8" w:name="_Toc186274126"/>
    </w:p>
    <w:p>
      <w:pPr>
        <w:pStyle w:val="41"/>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pStyle w:val="3"/>
        <w:widowControl/>
        <w:wordWrap/>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许昌市城投发展集团有限公司</w:t>
      </w:r>
    </w:p>
    <w:p>
      <w:pPr>
        <w:pStyle w:val="3"/>
        <w:widowControl/>
        <w:wordWrap/>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2023年</w:t>
      </w:r>
      <w:r>
        <w:rPr>
          <w:rFonts w:hint="eastAsia" w:ascii="方正小标宋简体" w:hAnsi="方正小标宋简体" w:eastAsia="方正小标宋简体" w:cs="方正小标宋简体"/>
          <w:b w:val="0"/>
          <w:bCs w:val="0"/>
          <w:sz w:val="44"/>
          <w:szCs w:val="44"/>
          <w:lang w:eastAsia="zh-CN"/>
        </w:rPr>
        <w:t>中国银行间市场交易商协会</w:t>
      </w:r>
    </w:p>
    <w:p>
      <w:pPr>
        <w:pStyle w:val="3"/>
        <w:widowControl/>
        <w:wordWrap/>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债务融资工具注册发行</w:t>
      </w:r>
      <w:r>
        <w:rPr>
          <w:rFonts w:hint="eastAsia" w:ascii="方正小标宋简体" w:hAnsi="方正小标宋简体" w:eastAsia="方正小标宋简体" w:cs="方正小标宋简体"/>
          <w:b w:val="0"/>
          <w:bCs w:val="0"/>
          <w:sz w:val="44"/>
          <w:szCs w:val="44"/>
        </w:rPr>
        <w:t>法律服务</w:t>
      </w: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项目编号：RZB-2023001号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2"/>
        <w:numPr>
          <w:ilvl w:val="1"/>
          <w:numId w:val="0"/>
        </w:numPr>
        <w:rPr>
          <w:rFonts w:hint="eastAsia" w:ascii="仿宋" w:hAnsi="仿宋" w:eastAsia="仿宋" w:cs="仿宋"/>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30"/>
        <w:spacing w:line="360" w:lineRule="auto"/>
        <w:jc w:val="center"/>
        <w:rPr>
          <w:rFonts w:hint="eastAsia" w:ascii="仿宋" w:hAnsi="仿宋" w:eastAsia="仿宋" w:cs="仿宋"/>
          <w:b/>
          <w:snapToGrid w:val="0"/>
          <w:color w:val="auto"/>
          <w:kern w:val="0"/>
          <w:sz w:val="36"/>
          <w:szCs w:val="36"/>
          <w:lang w:val="zh-CN" w:eastAsia="zh-CN"/>
        </w:rPr>
      </w:pPr>
    </w:p>
    <w:p>
      <w:pPr>
        <w:pStyle w:val="30"/>
        <w:spacing w:line="360" w:lineRule="auto"/>
        <w:jc w:val="center"/>
        <w:rPr>
          <w:rFonts w:hint="eastAsia" w:ascii="仿宋" w:hAnsi="仿宋" w:eastAsia="仿宋" w:cs="仿宋"/>
          <w:b/>
          <w:snapToGrid w:val="0"/>
          <w:color w:val="auto"/>
          <w:kern w:val="0"/>
          <w:sz w:val="36"/>
          <w:szCs w:val="36"/>
          <w:lang w:val="zh-CN" w:eastAsia="zh-CN"/>
        </w:rPr>
      </w:pPr>
    </w:p>
    <w:p>
      <w:pPr>
        <w:pStyle w:val="30"/>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W w:w="93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tc>
          <w:tcPr>
            <w:tcW w:w="75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3986"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6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986" w:type="dxa"/>
            <w:vAlign w:val="center"/>
          </w:tcPr>
          <w:p>
            <w:pPr>
              <w:pStyle w:val="30"/>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3986" w:type="dxa"/>
            <w:vAlign w:val="center"/>
          </w:tcPr>
          <w:p>
            <w:pPr>
              <w:pStyle w:val="3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3986" w:type="dxa"/>
            <w:vAlign w:val="center"/>
          </w:tcPr>
          <w:p>
            <w:pPr>
              <w:pStyle w:val="3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3986" w:type="dxa"/>
            <w:vAlign w:val="center"/>
          </w:tcPr>
          <w:p>
            <w:pPr>
              <w:pStyle w:val="30"/>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营业执照等（律师事务所执业许可证）</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3986" w:type="dxa"/>
            <w:vAlign w:val="center"/>
          </w:tcPr>
          <w:p>
            <w:pPr>
              <w:pStyle w:val="3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中国银行间市场交易商会员查询名单</w:t>
            </w:r>
          </w:p>
        </w:tc>
        <w:tc>
          <w:tcPr>
            <w:tcW w:w="1562" w:type="dxa"/>
            <w:vAlign w:val="center"/>
          </w:tcPr>
          <w:p>
            <w:pPr>
              <w:pStyle w:val="3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3986" w:type="dxa"/>
            <w:vAlign w:val="center"/>
          </w:tcPr>
          <w:p>
            <w:pPr>
              <w:pStyle w:val="3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3986" w:type="dxa"/>
            <w:vAlign w:val="center"/>
          </w:tcPr>
          <w:p>
            <w:pPr>
              <w:pStyle w:val="3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3986" w:type="dxa"/>
            <w:vAlign w:val="center"/>
          </w:tcPr>
          <w:p>
            <w:pPr>
              <w:pStyle w:val="30"/>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债务融资工具法律服务方案</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3986" w:type="dxa"/>
            <w:vAlign w:val="center"/>
          </w:tcPr>
          <w:p>
            <w:pPr>
              <w:pStyle w:val="30"/>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债券法律服务合同</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486"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3986" w:type="dxa"/>
            <w:vAlign w:val="center"/>
          </w:tcPr>
          <w:p>
            <w:pPr>
              <w:pStyle w:val="30"/>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36"/>
        <w:rPr>
          <w:rFonts w:hint="eastAsia" w:ascii="仿宋" w:hAnsi="仿宋" w:eastAsia="仿宋" w:cs="仿宋"/>
          <w:color w:val="auto"/>
          <w:sz w:val="24"/>
          <w:szCs w:val="24"/>
        </w:rPr>
      </w:pPr>
    </w:p>
    <w:p>
      <w:pPr>
        <w:pStyle w:val="37"/>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36"/>
        <w:rPr>
          <w:rFonts w:hint="eastAsia" w:ascii="仿宋" w:hAnsi="仿宋" w:eastAsia="仿宋" w:cs="仿宋"/>
          <w:color w:val="auto"/>
          <w:sz w:val="24"/>
          <w:szCs w:val="24"/>
        </w:rPr>
      </w:pPr>
    </w:p>
    <w:p>
      <w:pPr>
        <w:pStyle w:val="37"/>
        <w:rPr>
          <w:rFonts w:hint="eastAsia" w:ascii="仿宋" w:hAnsi="仿宋" w:eastAsia="仿宋" w:cs="仿宋"/>
          <w:color w:val="auto"/>
          <w:sz w:val="24"/>
          <w:szCs w:val="24"/>
        </w:rPr>
      </w:pPr>
    </w:p>
    <w:p>
      <w:pPr>
        <w:pStyle w:val="32"/>
        <w:rPr>
          <w:rFonts w:hint="eastAsia" w:ascii="仿宋" w:hAnsi="仿宋" w:eastAsia="仿宋" w:cs="仿宋"/>
          <w:color w:val="auto"/>
          <w:sz w:val="24"/>
          <w:szCs w:val="24"/>
        </w:rPr>
      </w:pPr>
    </w:p>
    <w:p>
      <w:pPr>
        <w:pStyle w:val="32"/>
        <w:rPr>
          <w:rFonts w:hint="eastAsia" w:ascii="仿宋" w:hAnsi="仿宋" w:eastAsia="仿宋" w:cs="仿宋"/>
          <w:color w:val="auto"/>
          <w:sz w:val="24"/>
          <w:szCs w:val="24"/>
        </w:rPr>
      </w:pPr>
    </w:p>
    <w:p>
      <w:pPr>
        <w:pStyle w:val="32"/>
        <w:rPr>
          <w:rFonts w:hint="eastAsia" w:ascii="仿宋" w:hAnsi="仿宋" w:eastAsia="仿宋" w:cs="仿宋"/>
          <w:color w:val="auto"/>
          <w:sz w:val="24"/>
          <w:szCs w:val="24"/>
        </w:rPr>
      </w:pPr>
    </w:p>
    <w:p>
      <w:pPr>
        <w:pStyle w:val="32"/>
        <w:rPr>
          <w:rFonts w:hint="eastAsia" w:ascii="仿宋" w:hAnsi="仿宋" w:eastAsia="仿宋" w:cs="仿宋"/>
          <w:color w:val="auto"/>
          <w:sz w:val="24"/>
          <w:szCs w:val="24"/>
        </w:rPr>
      </w:pPr>
    </w:p>
    <w:p>
      <w:pPr>
        <w:pStyle w:val="37"/>
        <w:rPr>
          <w:rFonts w:hint="eastAsia" w:ascii="仿宋" w:hAnsi="仿宋" w:eastAsia="仿宋" w:cs="仿宋"/>
          <w:color w:val="auto"/>
          <w:sz w:val="24"/>
          <w:szCs w:val="24"/>
        </w:rPr>
      </w:pPr>
    </w:p>
    <w:p>
      <w:pPr>
        <w:pStyle w:val="32"/>
        <w:rPr>
          <w:rFonts w:hint="eastAsia"/>
        </w:rPr>
      </w:pPr>
    </w:p>
    <w:p>
      <w:pPr>
        <w:rPr>
          <w:rFonts w:hint="eastAsia"/>
        </w:rPr>
      </w:pPr>
      <w:r>
        <w:rPr>
          <w:rFonts w:hint="eastAsia" w:ascii="仿宋" w:hAnsi="仿宋" w:eastAsia="仿宋" w:cs="仿宋"/>
          <w:color w:val="auto"/>
          <w:sz w:val="24"/>
          <w:szCs w:val="24"/>
        </w:rPr>
        <w:br w:type="page"/>
      </w:r>
    </w:p>
    <w:p>
      <w:pPr>
        <w:pStyle w:val="30"/>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30"/>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RZB-2023001号</w:t>
      </w:r>
    </w:p>
    <w:p>
      <w:pPr>
        <w:rPr>
          <w:rFonts w:hint="eastAsia" w:ascii="仿宋_GB2312" w:hAnsi="仿宋_GB2312" w:eastAsia="仿宋_GB2312" w:cs="仿宋_GB2312"/>
          <w:lang w:val="en-US" w:eastAsia="zh-CN"/>
        </w:rPr>
      </w:pPr>
      <w:r>
        <w:rPr>
          <w:rFonts w:hint="eastAsia" w:ascii="仿宋" w:hAnsi="仿宋" w:eastAsia="仿宋" w:cs="仿宋"/>
          <w:color w:val="auto"/>
          <w:szCs w:val="24"/>
        </w:rPr>
        <w:t>项目名称：</w:t>
      </w:r>
      <w:r>
        <w:rPr>
          <w:rFonts w:hint="eastAsia" w:ascii="仿宋_GB2312" w:hAnsi="仿宋_GB2312" w:eastAsia="仿宋_GB2312" w:cs="仿宋_GB2312"/>
          <w:lang w:val="en-US" w:eastAsia="zh-CN"/>
        </w:rPr>
        <w:t>许昌市城投发展集团有限公司2023年中国银行间市场交易商协会债务融资工具注册发行法律服务</w:t>
      </w:r>
    </w:p>
    <w:tbl>
      <w:tblPr>
        <w:tblW w:w="80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4143"/>
        <w:gridCol w:w="2213"/>
        <w:gridCol w:w="912"/>
      </w:tblGrid>
      <w:tr>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221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rPr>
          <w:trHeight w:val="851" w:hRule="atLeast"/>
        </w:trPr>
        <w:tc>
          <w:tcPr>
            <w:tcW w:w="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4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_GB2312" w:hAnsi="仿宋_GB2312" w:eastAsia="仿宋_GB2312" w:cs="仿宋_GB2312"/>
                <w:sz w:val="24"/>
                <w:szCs w:val="24"/>
                <w:lang w:val="en-US" w:eastAsia="zh-CN"/>
              </w:rPr>
              <w:t>许昌市城投发展集团有限公司中国银行间市场交易商协会中期票据注册发行法律服务</w:t>
            </w:r>
          </w:p>
        </w:tc>
        <w:tc>
          <w:tcPr>
            <w:tcW w:w="2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rPr>
          <w:trHeight w:val="851" w:hRule="atLeast"/>
        </w:trPr>
        <w:tc>
          <w:tcPr>
            <w:tcW w:w="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p>
        </w:tc>
        <w:tc>
          <w:tcPr>
            <w:tcW w:w="4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_GB2312" w:hAnsi="仿宋_GB2312" w:eastAsia="仿宋_GB2312" w:cs="仿宋_GB2312"/>
                <w:sz w:val="24"/>
                <w:szCs w:val="24"/>
                <w:lang w:val="en-US" w:eastAsia="zh-CN"/>
              </w:rPr>
              <w:t>许昌市城投发展集团有限公司中国银行间市场交易商协会中期票据（绿色债务融资工具）注册发行法律服务</w:t>
            </w:r>
          </w:p>
        </w:tc>
        <w:tc>
          <w:tcPr>
            <w:tcW w:w="2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rPr>
          <w:trHeight w:val="851" w:hRule="atLeast"/>
        </w:trPr>
        <w:tc>
          <w:tcPr>
            <w:tcW w:w="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p>
        </w:tc>
        <w:tc>
          <w:tcPr>
            <w:tcW w:w="4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_GB2312" w:hAnsi="仿宋_GB2312" w:eastAsia="仿宋_GB2312" w:cs="仿宋_GB2312"/>
                <w:sz w:val="24"/>
                <w:szCs w:val="24"/>
                <w:lang w:val="en-US" w:eastAsia="zh-CN"/>
              </w:rPr>
              <w:t>许昌市城投发展集团有限公司中国银行间市场交易商协会资产担保债务融资工具注册发行法律服务</w:t>
            </w:r>
          </w:p>
        </w:tc>
        <w:tc>
          <w:tcPr>
            <w:tcW w:w="2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rPr>
          <w:trHeight w:val="851" w:hRule="atLeast"/>
        </w:trPr>
        <w:tc>
          <w:tcPr>
            <w:tcW w:w="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p>
        </w:tc>
        <w:tc>
          <w:tcPr>
            <w:tcW w:w="4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_GB2312" w:hAnsi="仿宋_GB2312" w:eastAsia="仿宋_GB2312" w:cs="仿宋_GB2312"/>
                <w:sz w:val="24"/>
                <w:szCs w:val="24"/>
                <w:lang w:val="en-US" w:eastAsia="zh-CN"/>
              </w:rPr>
              <w:t>许昌市城投发展集团有限公司中国银行间市场交易商协会短期融资券注册发行法律服务</w:t>
            </w:r>
          </w:p>
        </w:tc>
        <w:tc>
          <w:tcPr>
            <w:tcW w:w="2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rPr>
          <w:trHeight w:val="851" w:hRule="atLeast"/>
        </w:trPr>
        <w:tc>
          <w:tcPr>
            <w:tcW w:w="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4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_GB2312" w:hAnsi="仿宋_GB2312" w:eastAsia="仿宋_GB2312" w:cs="仿宋_GB2312"/>
                <w:sz w:val="24"/>
                <w:szCs w:val="24"/>
                <w:lang w:val="en-US" w:eastAsia="zh-CN"/>
              </w:rPr>
              <w:t>许昌市建设投资有限责任公司中国银行间市场交易商协会定向债务融资工具注册发行法律服务</w:t>
            </w:r>
          </w:p>
        </w:tc>
        <w:tc>
          <w:tcPr>
            <w:tcW w:w="2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rPr>
          <w:trHeight w:val="851" w:hRule="atLeast"/>
        </w:trPr>
        <w:tc>
          <w:tcPr>
            <w:tcW w:w="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4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2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rPr>
          <w:rFonts w:hint="eastAsia"/>
          <w:lang w:val="zh-CN"/>
        </w:rPr>
      </w:pPr>
      <w:r>
        <w:rPr>
          <w:rFonts w:hint="eastAsia" w:ascii="仿宋" w:hAnsi="仿宋" w:eastAsia="仿宋" w:cs="仿宋"/>
          <w:color w:val="auto"/>
          <w:sz w:val="24"/>
          <w:szCs w:val="24"/>
          <w:lang w:val="zh-CN"/>
        </w:rPr>
        <w:br w:type="page"/>
      </w:r>
    </w:p>
    <w:p>
      <w:pPr>
        <w:pStyle w:val="30"/>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36"/>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30"/>
        <w:spacing w:line="360" w:lineRule="auto"/>
        <w:jc w:val="center"/>
        <w:rPr>
          <w:rFonts w:hint="eastAsia" w:ascii="仿宋" w:hAnsi="仿宋" w:eastAsia="仿宋" w:cs="仿宋"/>
          <w:b/>
          <w:snapToGrid w:val="0"/>
          <w:color w:val="auto"/>
          <w:kern w:val="0"/>
          <w:sz w:val="36"/>
          <w:szCs w:val="36"/>
          <w:lang w:eastAsia="zh-CN"/>
        </w:rPr>
      </w:pPr>
    </w:p>
    <w:p>
      <w:pPr>
        <w:pStyle w:val="30"/>
        <w:spacing w:line="360" w:lineRule="auto"/>
        <w:jc w:val="center"/>
        <w:rPr>
          <w:rFonts w:hint="eastAsia" w:ascii="仿宋" w:hAnsi="仿宋" w:eastAsia="仿宋" w:cs="仿宋"/>
          <w:b/>
          <w:snapToGrid w:val="0"/>
          <w:color w:val="auto"/>
          <w:kern w:val="0"/>
          <w:sz w:val="36"/>
          <w:szCs w:val="36"/>
          <w:lang w:eastAsia="zh-CN"/>
        </w:rPr>
      </w:pPr>
    </w:p>
    <w:p>
      <w:pPr>
        <w:pStyle w:val="30"/>
        <w:spacing w:line="360" w:lineRule="auto"/>
        <w:jc w:val="center"/>
        <w:rPr>
          <w:rFonts w:hint="eastAsia" w:ascii="仿宋" w:hAnsi="仿宋" w:eastAsia="仿宋" w:cs="仿宋"/>
          <w:b/>
          <w:snapToGrid w:val="0"/>
          <w:color w:val="auto"/>
          <w:kern w:val="0"/>
          <w:sz w:val="36"/>
          <w:szCs w:val="36"/>
          <w:lang w:eastAsia="zh-CN"/>
        </w:rPr>
      </w:pPr>
    </w:p>
    <w:p>
      <w:pPr>
        <w:pStyle w:val="30"/>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附营业执照等（律师事务所执业许可证）</w:t>
      </w:r>
    </w:p>
    <w:p>
      <w:pPr>
        <w:jc w:val="left"/>
        <w:rPr>
          <w:rFonts w:hint="eastAsia" w:ascii="仿宋" w:hAnsi="仿宋" w:eastAsia="仿宋" w:cs="仿宋"/>
          <w:b/>
          <w:bCs/>
          <w:color w:val="auto"/>
          <w:sz w:val="32"/>
          <w:szCs w:val="32"/>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rPr>
          <w:rFonts w:hint="eastAsia"/>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  附中国银行间市场交易商会员查询名单</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pStyle w:val="2"/>
        <w:numPr>
          <w:ilvl w:val="1"/>
          <w:numId w:val="0"/>
        </w:numPr>
        <w:rPr>
          <w:rFonts w:hint="eastAsia"/>
        </w:rPr>
      </w:pPr>
    </w:p>
    <w:p>
      <w:pPr>
        <w:pStyle w:val="2"/>
        <w:numPr>
          <w:ilvl w:val="1"/>
          <w:numId w:val="0"/>
        </w:numPr>
        <w:rPr>
          <w:rFonts w:hint="eastAsia"/>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4.3投标人信用承诺函</w:t>
      </w:r>
    </w:p>
    <w:p>
      <w:pPr>
        <w:autoSpaceDE w:val="0"/>
        <w:autoSpaceDN w:val="0"/>
        <w:adjustRightInd w:val="0"/>
        <w:spacing w:line="360" w:lineRule="auto"/>
        <w:jc w:val="center"/>
        <w:rPr>
          <w:rFonts w:hint="eastAsia" w:ascii="仿宋" w:hAnsi="仿宋" w:eastAsia="仿宋" w:cs="仿宋"/>
          <w:b/>
          <w:bCs/>
          <w:sz w:val="24"/>
          <w:szCs w:val="24"/>
        </w:rPr>
      </w:pPr>
    </w:p>
    <w:p>
      <w:pPr>
        <w:widowControl/>
        <w:wordWrap/>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致</w:t>
      </w:r>
      <w:r>
        <w:rPr>
          <w:rFonts w:hint="eastAsia" w:ascii="仿宋" w:hAnsi="仿宋" w:eastAsia="仿宋" w:cs="仿宋"/>
          <w:color w:val="000000"/>
          <w:kern w:val="0"/>
          <w:sz w:val="28"/>
          <w:szCs w:val="28"/>
          <w:u w:val="single"/>
          <w:lang w:val="en-US" w:eastAsia="zh-CN"/>
        </w:rPr>
        <w:t>许昌市城投发展集团有限公司</w:t>
      </w:r>
      <w:r>
        <w:rPr>
          <w:rFonts w:hint="eastAsia" w:ascii="仿宋" w:hAnsi="仿宋" w:eastAsia="仿宋" w:cs="仿宋"/>
          <w:color w:val="000000"/>
          <w:kern w:val="0"/>
          <w:sz w:val="28"/>
          <w:szCs w:val="28"/>
          <w:lang w:val="en-US" w:eastAsia="zh-CN"/>
        </w:rPr>
        <w:t xml:space="preserve">： </w:t>
      </w:r>
    </w:p>
    <w:p>
      <w:pPr>
        <w:widowControl w:val="0"/>
        <w:wordWrap/>
        <w:adjustRightInd/>
        <w:snapToGrid/>
        <w:spacing w:beforeLines="50"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pPr>
        <w:widowControl w:val="0"/>
        <w:wordWrap/>
        <w:adjustRightInd/>
        <w:snapToGrid/>
        <w:spacing w:beforeLines="50"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pPr>
        <w:widowControl w:val="0"/>
        <w:wordWrap/>
        <w:adjustRightInd/>
        <w:snapToGrid/>
        <w:spacing w:beforeLines="50"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pPr>
        <w:widowControl w:val="0"/>
        <w:wordWrap/>
        <w:adjustRightInd/>
        <w:snapToGrid/>
        <w:spacing w:beforeLines="50"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pPr>
        <w:widowControl/>
        <w:wordWrap/>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 xml:space="preserve">为维护公平、公正、公开的市场秩序，树立诚实守信的投标人形象，我单位自愿作出以下承诺： </w:t>
      </w:r>
    </w:p>
    <w:p>
      <w:pPr>
        <w:widowControl/>
        <w:wordWrap/>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 xml:space="preserve">一、我单位自愿参加本次询比采购活动，严格遵守相关法律法规，依法诚信经营，无条件遵守本次询比采购活动的各项规定，我单位（本人）郑重承诺，我单位符合《中华人民共和国政府采购法》第二十二条规定和招标文件、本承诺书的条件： </w:t>
      </w:r>
    </w:p>
    <w:p>
      <w:pPr>
        <w:widowControl/>
        <w:wordWrap/>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（一）未被列入经营异常名录或者严重违法失信名单、失信被执行人，重大税收违法案件当事人名单、政府采购严重违法失信行为记录名单；</w:t>
      </w:r>
    </w:p>
    <w:p>
      <w:pPr>
        <w:widowControl/>
        <w:wordWrap/>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（二）未被相关监管部门作出行政处罚且尚在处罚有效期的；</w:t>
      </w:r>
    </w:p>
    <w:p>
      <w:pPr>
        <w:widowControl/>
        <w:wordWrap/>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（三）未曾作出虚假承诺；</w:t>
      </w:r>
    </w:p>
    <w:p>
      <w:pPr>
        <w:widowControl w:val="0"/>
        <w:wordWrap/>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（四）符合法律、行政法规规定的其他条件。</w:t>
      </w:r>
    </w:p>
    <w:p>
      <w:pPr>
        <w:widowControl/>
        <w:wordWrap/>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（五）未被中国银行间市场交易商协会取消、暂停会员资格或出现被处罚等影响本次债务融资工具法律服务能力的情况。</w:t>
      </w:r>
    </w:p>
    <w:p>
      <w:pPr>
        <w:widowControl/>
        <w:wordWrap/>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二、我单位保证上述承诺事项的真实性。如有弄虚作假或其他违法违规行为，自愿按照规定将违背承诺行为作为失信行为记录到社会信用信息平台，列入不良行为记录名单，在</w:t>
      </w:r>
      <w:r>
        <w:rPr>
          <w:rFonts w:hint="eastAsia" w:ascii="仿宋" w:hAnsi="仿宋" w:eastAsia="仿宋" w:cs="仿宋"/>
          <w:color w:val="000000"/>
          <w:kern w:val="0"/>
          <w:sz w:val="28"/>
          <w:szCs w:val="28"/>
          <w:highlight w:val="yellow"/>
          <w:lang w:val="en-US" w:eastAsia="zh-CN"/>
        </w:rPr>
        <w:t>两年内</w:t>
      </w:r>
      <w:r>
        <w:rPr>
          <w:rFonts w:hint="eastAsia" w:ascii="仿宋" w:hAnsi="仿宋" w:eastAsia="仿宋" w:cs="仿宋"/>
          <w:color w:val="000000"/>
          <w:kern w:val="0"/>
          <w:sz w:val="28"/>
          <w:szCs w:val="28"/>
          <w:lang w:val="en-US" w:eastAsia="zh-CN"/>
        </w:rPr>
        <w:t>禁止参加城投集团及子公司的所有</w:t>
      </w:r>
      <w:r>
        <w:rPr>
          <w:rFonts w:hint="eastAsia" w:ascii="仿宋" w:hAnsi="仿宋" w:eastAsia="仿宋" w:cs="仿宋"/>
          <w:color w:val="000000"/>
          <w:kern w:val="0"/>
          <w:sz w:val="28"/>
          <w:szCs w:val="28"/>
          <w:highlight w:val="yellow"/>
          <w:lang w:val="en-US" w:eastAsia="zh-CN"/>
        </w:rPr>
        <w:t>招标（询比采购）活动</w:t>
      </w:r>
      <w:r>
        <w:rPr>
          <w:rFonts w:hint="eastAsia" w:ascii="仿宋" w:hAnsi="仿宋" w:eastAsia="仿宋" w:cs="仿宋"/>
          <w:color w:val="000000"/>
          <w:kern w:val="0"/>
          <w:sz w:val="28"/>
          <w:szCs w:val="28"/>
          <w:lang w:val="en-US" w:eastAsia="zh-CN"/>
        </w:rPr>
        <w:t xml:space="preserve">。 </w:t>
      </w:r>
    </w:p>
    <w:p>
      <w:pPr>
        <w:widowControl/>
        <w:wordWrap/>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 xml:space="preserve">投标人（盖章）: </w:t>
      </w:r>
    </w:p>
    <w:p>
      <w:pPr>
        <w:widowControl/>
        <w:wordWrap/>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日期： 年 月 日</w:t>
      </w:r>
    </w:p>
    <w:p>
      <w:pPr>
        <w:widowControl/>
        <w:wordWrap/>
        <w:snapToGrid/>
        <w:spacing w:line="360" w:lineRule="auto"/>
        <w:jc w:val="left"/>
        <w:textAlignment w:val="auto"/>
        <w:rPr>
          <w:rFonts w:hint="eastAsia" w:ascii="仿宋" w:hAnsi="仿宋" w:eastAsia="仿宋" w:cs="仿宋"/>
          <w:sz w:val="28"/>
          <w:szCs w:val="28"/>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2"/>
        <w:numPr>
          <w:ilvl w:val="1"/>
          <w:numId w:val="0"/>
        </w:numPr>
        <w:rPr>
          <w:rFonts w:hint="eastAsia"/>
          <w:lang w:val="zh-CN"/>
        </w:rPr>
      </w:pPr>
    </w:p>
    <w:p>
      <w:pPr>
        <w:pStyle w:val="30"/>
        <w:spacing w:line="360" w:lineRule="auto"/>
        <w:jc w:val="both"/>
        <w:rPr>
          <w:rFonts w:hint="eastAsia" w:ascii="仿宋" w:hAnsi="仿宋" w:eastAsia="仿宋" w:cs="仿宋"/>
          <w:b/>
          <w:bCs/>
          <w:color w:val="auto"/>
          <w:sz w:val="28"/>
          <w:szCs w:val="28"/>
          <w:highlight w:val="none"/>
          <w:lang w:val="en-US" w:eastAsia="zh-CN"/>
        </w:rPr>
      </w:pPr>
    </w:p>
    <w:p>
      <w:pPr>
        <w:pStyle w:val="30"/>
        <w:spacing w:line="360" w:lineRule="auto"/>
        <w:jc w:val="both"/>
        <w:rPr>
          <w:rFonts w:hint="eastAsia" w:ascii="仿宋" w:hAnsi="仿宋" w:eastAsia="仿宋" w:cs="仿宋"/>
          <w:b/>
          <w:bCs/>
          <w:color w:val="auto"/>
          <w:sz w:val="28"/>
          <w:szCs w:val="28"/>
          <w:highlight w:val="none"/>
          <w:lang w:val="en-US" w:eastAsia="zh-CN"/>
        </w:rPr>
      </w:pPr>
    </w:p>
    <w:p>
      <w:pPr>
        <w:pStyle w:val="30"/>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30"/>
        <w:spacing w:line="360" w:lineRule="auto"/>
        <w:jc w:val="center"/>
        <w:rPr>
          <w:rFonts w:hint="eastAsia" w:ascii="仿宋" w:hAnsi="仿宋" w:eastAsia="仿宋" w:cs="仿宋"/>
          <w:b/>
          <w:bCs/>
          <w:color w:val="auto"/>
          <w:sz w:val="28"/>
          <w:szCs w:val="28"/>
          <w:highlight w:val="none"/>
          <w:lang w:val="en-US" w:eastAsia="zh-CN"/>
        </w:rPr>
      </w:pPr>
    </w:p>
    <w:p>
      <w:pPr>
        <w:pStyle w:val="30"/>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3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（投标人自行编制，需附项目团队人员法律从业职资格证明文件）</w:t>
      </w:r>
    </w:p>
    <w:p>
      <w:pPr>
        <w:pStyle w:val="30"/>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30"/>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30"/>
        <w:spacing w:line="360" w:lineRule="auto"/>
        <w:jc w:val="center"/>
        <w:rPr>
          <w:rFonts w:hint="eastAsia" w:ascii="仿宋" w:hAnsi="仿宋" w:eastAsia="仿宋" w:cs="仿宋"/>
          <w:b/>
          <w:bCs/>
          <w:color w:val="auto"/>
          <w:sz w:val="28"/>
          <w:szCs w:val="28"/>
          <w:highlight w:val="none"/>
        </w:rPr>
      </w:pPr>
    </w:p>
    <w:p>
      <w:pPr>
        <w:pStyle w:val="30"/>
        <w:spacing w:line="360" w:lineRule="auto"/>
        <w:jc w:val="center"/>
        <w:rPr>
          <w:rFonts w:hint="eastAsia" w:ascii="仿宋" w:hAnsi="仿宋" w:eastAsia="仿宋" w:cs="仿宋"/>
          <w:b/>
          <w:bCs/>
          <w:color w:val="auto"/>
          <w:sz w:val="28"/>
          <w:szCs w:val="28"/>
          <w:highlight w:val="none"/>
        </w:rPr>
      </w:pPr>
    </w:p>
    <w:p>
      <w:pPr>
        <w:pStyle w:val="30"/>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30"/>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5.2债务融资工具法律服务方案</w:t>
      </w:r>
    </w:p>
    <w:p>
      <w:pPr>
        <w:pStyle w:val="30"/>
        <w:spacing w:line="360" w:lineRule="auto"/>
        <w:jc w:val="center"/>
        <w:rPr>
          <w:rFonts w:hint="eastAsia" w:ascii="仿宋" w:hAnsi="仿宋" w:eastAsia="仿宋" w:cs="仿宋"/>
          <w:b/>
          <w:bCs/>
          <w:color w:val="auto"/>
          <w:sz w:val="28"/>
          <w:szCs w:val="28"/>
          <w:highlight w:val="none"/>
        </w:rPr>
      </w:pPr>
    </w:p>
    <w:p>
      <w:pPr>
        <w:pStyle w:val="30"/>
        <w:spacing w:line="360" w:lineRule="auto"/>
        <w:jc w:val="both"/>
        <w:rPr>
          <w:rFonts w:hint="eastAsia" w:ascii="仿宋" w:hAnsi="仿宋" w:eastAsia="仿宋" w:cs="仿宋"/>
          <w:b/>
          <w:bCs/>
          <w:color w:val="auto"/>
          <w:sz w:val="28"/>
          <w:szCs w:val="28"/>
          <w:highlight w:val="none"/>
        </w:rPr>
      </w:pPr>
    </w:p>
    <w:p>
      <w:pPr>
        <w:pStyle w:val="30"/>
        <w:spacing w:line="360" w:lineRule="auto"/>
        <w:jc w:val="both"/>
        <w:rPr>
          <w:rFonts w:hint="eastAsia" w:ascii="仿宋" w:hAnsi="仿宋" w:eastAsia="仿宋" w:cs="仿宋"/>
          <w:b/>
          <w:bCs/>
          <w:color w:val="auto"/>
          <w:sz w:val="28"/>
          <w:szCs w:val="28"/>
          <w:highlight w:val="none"/>
        </w:rPr>
      </w:pPr>
    </w:p>
    <w:p>
      <w:pPr>
        <w:pStyle w:val="30"/>
        <w:spacing w:line="360" w:lineRule="auto"/>
        <w:jc w:val="both"/>
        <w:rPr>
          <w:rFonts w:hint="eastAsia" w:ascii="仿宋" w:hAnsi="仿宋" w:eastAsia="仿宋" w:cs="仿宋"/>
          <w:b/>
          <w:bCs/>
          <w:color w:val="auto"/>
          <w:sz w:val="28"/>
          <w:szCs w:val="28"/>
          <w:highlight w:val="none"/>
        </w:rPr>
      </w:pPr>
    </w:p>
    <w:p>
      <w:pPr>
        <w:pStyle w:val="30"/>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5.3债券法律服务合同</w:t>
      </w:r>
    </w:p>
    <w:p>
      <w:pPr>
        <w:pStyle w:val="30"/>
        <w:spacing w:line="360" w:lineRule="auto"/>
        <w:jc w:val="center"/>
        <w:rPr>
          <w:rFonts w:hint="eastAsia" w:ascii="仿宋" w:hAnsi="仿宋" w:eastAsia="仿宋" w:cs="仿宋"/>
          <w:b/>
          <w:bCs/>
          <w:color w:val="auto"/>
          <w:sz w:val="28"/>
          <w:szCs w:val="28"/>
          <w:highlight w:val="none"/>
          <w:lang w:val="zh-CN"/>
        </w:rPr>
      </w:pPr>
    </w:p>
    <w:p>
      <w:pPr>
        <w:pStyle w:val="30"/>
        <w:spacing w:line="360" w:lineRule="auto"/>
        <w:jc w:val="center"/>
        <w:rPr>
          <w:rFonts w:hint="eastAsia" w:ascii="仿宋" w:hAnsi="仿宋" w:eastAsia="仿宋" w:cs="仿宋"/>
          <w:b/>
          <w:bCs/>
          <w:color w:val="auto"/>
          <w:sz w:val="28"/>
          <w:szCs w:val="28"/>
          <w:highlight w:val="none"/>
          <w:lang w:val="zh-CN"/>
        </w:rPr>
      </w:pPr>
    </w:p>
    <w:p>
      <w:pPr>
        <w:pStyle w:val="30"/>
        <w:spacing w:line="360" w:lineRule="auto"/>
        <w:jc w:val="center"/>
        <w:rPr>
          <w:rFonts w:hint="eastAsia" w:ascii="仿宋" w:hAnsi="仿宋" w:eastAsia="仿宋" w:cs="仿宋"/>
          <w:b/>
          <w:bCs/>
          <w:color w:val="auto"/>
          <w:sz w:val="28"/>
          <w:szCs w:val="28"/>
          <w:highlight w:val="none"/>
          <w:lang w:val="zh-CN"/>
        </w:rPr>
      </w:pPr>
    </w:p>
    <w:p>
      <w:pPr>
        <w:pStyle w:val="30"/>
        <w:spacing w:line="360" w:lineRule="auto"/>
        <w:jc w:val="center"/>
        <w:rPr>
          <w:rFonts w:hint="eastAsia" w:ascii="仿宋" w:hAnsi="仿宋" w:eastAsia="仿宋" w:cs="仿宋"/>
          <w:b/>
          <w:bCs/>
          <w:color w:val="auto"/>
          <w:sz w:val="28"/>
          <w:szCs w:val="28"/>
          <w:highlight w:val="none"/>
          <w:lang w:val="zh-CN"/>
        </w:rPr>
      </w:pPr>
    </w:p>
    <w:p>
      <w:pPr>
        <w:pStyle w:val="30"/>
        <w:spacing w:line="360" w:lineRule="auto"/>
        <w:jc w:val="center"/>
        <w:rPr>
          <w:rFonts w:hint="eastAsia" w:ascii="仿宋" w:hAnsi="仿宋" w:eastAsia="仿宋" w:cs="仿宋"/>
          <w:b/>
          <w:bCs/>
          <w:color w:val="auto"/>
          <w:sz w:val="28"/>
          <w:szCs w:val="28"/>
          <w:highlight w:val="none"/>
          <w:lang w:val="en-US" w:eastAsia="zh-CN"/>
        </w:rPr>
      </w:pPr>
    </w:p>
    <w:p>
      <w:pPr>
        <w:pStyle w:val="30"/>
        <w:spacing w:line="360" w:lineRule="auto"/>
        <w:jc w:val="center"/>
        <w:rPr>
          <w:rFonts w:hint="eastAsia" w:ascii="仿宋" w:hAnsi="仿宋" w:eastAsia="仿宋" w:cs="仿宋"/>
          <w:b/>
          <w:bCs/>
          <w:color w:val="auto"/>
          <w:sz w:val="28"/>
          <w:szCs w:val="28"/>
          <w:highlight w:val="none"/>
          <w:lang w:val="en-US" w:eastAsia="zh-CN"/>
        </w:rPr>
      </w:pPr>
    </w:p>
    <w:p>
      <w:pPr>
        <w:pStyle w:val="30"/>
        <w:spacing w:line="360" w:lineRule="auto"/>
        <w:jc w:val="center"/>
        <w:rPr>
          <w:rFonts w:hint="eastAsia" w:ascii="仿宋" w:hAnsi="仿宋" w:eastAsia="仿宋" w:cs="仿宋"/>
          <w:b/>
          <w:bCs/>
          <w:color w:val="auto"/>
          <w:sz w:val="28"/>
          <w:szCs w:val="28"/>
          <w:highlight w:val="none"/>
          <w:lang w:val="en-US" w:eastAsia="zh-CN"/>
        </w:rPr>
      </w:pPr>
    </w:p>
    <w:p>
      <w:pPr>
        <w:pStyle w:val="30"/>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30"/>
        <w:spacing w:line="360" w:lineRule="auto"/>
        <w:jc w:val="center"/>
        <w:rPr>
          <w:rFonts w:hint="eastAsia" w:ascii="仿宋" w:hAnsi="仿宋" w:eastAsia="仿宋" w:cs="仿宋"/>
          <w:b/>
          <w:bCs/>
          <w:color w:val="auto"/>
          <w:sz w:val="28"/>
          <w:szCs w:val="28"/>
          <w:highlight w:val="none"/>
        </w:rPr>
      </w:pPr>
    </w:p>
    <w:p>
      <w:pPr>
        <w:pStyle w:val="30"/>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widowControl/>
        <w:wordWrap/>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widowControl/>
        <w:wordWrap/>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widowControl/>
        <w:wordWrap/>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widowControl/>
        <w:wordWrap/>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widowControl/>
        <w:wordWrap/>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r>
        <w:rPr>
          <w:rFonts w:hint="eastAsia" w:ascii="仿宋" w:hAnsi="仿宋" w:eastAsia="仿宋" w:cs="仿宋"/>
          <w:b/>
          <w:color w:val="auto"/>
          <w:sz w:val="36"/>
          <w:szCs w:val="36"/>
          <w:shd w:val="clear" w:color="060000" w:fill="auto"/>
          <w:lang w:eastAsia="zh-CN"/>
        </w:rPr>
        <w:t>注：投标文件首页加盖公章，并加盖骑缝章。</w:t>
      </w:r>
    </w:p>
    <w:sectPr>
      <w:footerReference r:id="rId6" w:type="default"/>
      <w:pgSz w:w="11906" w:h="16838"/>
      <w:pgMar w:top="1440" w:right="1800" w:bottom="1440" w:left="1800" w:header="720" w:footer="720" w:gutter="0"/>
      <w:pgNumType w:fmt="decimal"/>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jc w:val="center"/>
    </w:pP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6"/>
                </w:pPr>
                <w:r>
                  <w:fldChar w:fldCharType="begin"/>
                </w:r>
                <w:r>
                  <w:instrText xml:space="preserve"> PAGE  \* MERGEFORMAT </w:instrText>
                </w:r>
                <w:r>
                  <w:fldChar w:fldCharType="separate"/>
                </w:r>
                <w:r>
                  <w:t>0</w:t>
                </w:r>
                <w:r>
                  <w:fldChar w:fldCharType="end"/>
                </w:r>
              </w:p>
            </w:txbxContent>
          </v:textbox>
        </v:rect>
      </w:pic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jc w:val="center"/>
    </w:pPr>
    <w:r>
      <w:rPr>
        <w:rFonts w:ascii="Times New Roman" w:hAnsi="Times New Roman" w:eastAsia="宋体" w:cs="Times New Roman"/>
        <w:kern w:val="2"/>
        <w:sz w:val="18"/>
        <w:szCs w:val="18"/>
        <w:lang w:val="en-US" w:eastAsia="zh-CN" w:bidi="ar-SA"/>
      </w:rPr>
      <w:pict>
        <v:rect id="文本框 1028" o:spid="_x0000_s1026" style="position:absolute;left:0;margin-top:0pt;height:144pt;width:144pt;mso-position-horizontal:right;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6"/>
                </w:pPr>
                <w:r>
                  <w:fldChar w:fldCharType="begin"/>
                </w:r>
                <w:r>
                  <w:instrText xml:space="preserve"> PAGE  \* MERGEFORMAT </w:instrText>
                </w:r>
                <w:r>
                  <w:fldChar w:fldCharType="separate"/>
                </w:r>
                <w:r>
                  <w:t>37</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singleLevel"/>
    <w:tmpl w:val="00000003"/>
    <w:lvl w:ilvl="0" w:tentative="1">
      <w:start w:val="1"/>
      <w:numFmt w:val="chineseCounting"/>
      <w:pStyle w:val="41"/>
      <w:suff w:val="nothing"/>
      <w:lvlText w:val="%1、"/>
      <w:lvlJc w:val="left"/>
    </w:lvl>
  </w:abstractNum>
  <w:abstractNum w:abstractNumId="8">
    <w:nsid w:val="00000008"/>
    <w:multiLevelType w:val="singleLevel"/>
    <w:tmpl w:val="00000008"/>
    <w:lvl w:ilvl="0" w:tentative="1">
      <w:start w:val="1"/>
      <w:numFmt w:val="chineseCounting"/>
      <w:suff w:val="nothing"/>
      <w:lvlText w:val="%1、"/>
      <w:lvlJc w:val="left"/>
      <w:rPr>
        <w:rFonts w:hint="eastAsia"/>
      </w:rPr>
    </w:lvl>
  </w:abstractNum>
  <w:abstractNum w:abstractNumId="10">
    <w:nsid w:val="0000000A"/>
    <w:multiLevelType w:val="singleLevel"/>
    <w:tmpl w:val="0000000A"/>
    <w:lvl w:ilvl="0" w:tentative="1">
      <w:start w:val="1"/>
      <w:numFmt w:val="decimal"/>
      <w:suff w:val="nothing"/>
      <w:lvlText w:val="%1、"/>
      <w:lvlJc w:val="left"/>
    </w:lvl>
  </w:abstractNum>
  <w:abstractNum w:abstractNumId="12">
    <w:nsid w:val="0000000C"/>
    <w:multiLevelType w:val="multilevel"/>
    <w:tmpl w:val="0000000C"/>
    <w:lvl w:ilvl="0" w:tentative="1">
      <w:start w:val="1"/>
      <w:numFmt w:val="chineseCountingThousand"/>
      <w:suff w:val="nothing"/>
      <w:lvlText w:val="第%1部分"/>
      <w:lvlJc w:val="center"/>
      <w:pPr>
        <w:ind w:left="-288" w:firstLine="288"/>
      </w:pPr>
      <w:rPr>
        <w:rFonts w:hint="eastAsia" w:cs="Times New Roman"/>
        <w:sz w:val="28"/>
        <w:szCs w:val="28"/>
      </w:rPr>
    </w:lvl>
    <w:lvl w:ilvl="1" w:tentative="1">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1">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1">
      <w:start w:val="1"/>
      <w:numFmt w:val="decimal"/>
      <w:suff w:val="nothing"/>
      <w:lvlText w:val="%4、"/>
      <w:lvlJc w:val="left"/>
      <w:rPr>
        <w:rFonts w:hint="eastAsia" w:cs="Times New Roman"/>
      </w:rPr>
    </w:lvl>
    <w:lvl w:ilvl="4" w:tentative="1">
      <w:start w:val="1"/>
      <w:numFmt w:val="upperLetter"/>
      <w:suff w:val="nothing"/>
      <w:lvlText w:val="%5、"/>
      <w:lvlJc w:val="left"/>
      <w:rPr>
        <w:rFonts w:hint="eastAsia" w:cs="Times New Roman"/>
      </w:rPr>
    </w:lvl>
    <w:lvl w:ilvl="5" w:tentative="1">
      <w:start w:val="1"/>
      <w:numFmt w:val="none"/>
      <w:suff w:val="nothing"/>
      <w:lvlText w:val=""/>
      <w:lvlJc w:val="left"/>
      <w:rPr>
        <w:rFonts w:hint="eastAsia" w:cs="Times New Roman"/>
      </w:rPr>
    </w:lvl>
    <w:lvl w:ilvl="6" w:tentative="1">
      <w:start w:val="1"/>
      <w:numFmt w:val="none"/>
      <w:suff w:val="nothing"/>
      <w:lvlText w:val=""/>
      <w:lvlJc w:val="left"/>
      <w:rPr>
        <w:rFonts w:hint="eastAsia" w:cs="Times New Roman"/>
      </w:rPr>
    </w:lvl>
    <w:lvl w:ilvl="7" w:tentative="1">
      <w:start w:val="1"/>
      <w:numFmt w:val="none"/>
      <w:suff w:val="nothing"/>
      <w:lvlText w:val=""/>
      <w:lvlJc w:val="left"/>
      <w:rPr>
        <w:rFonts w:hint="eastAsia" w:cs="Times New Roman"/>
      </w:rPr>
    </w:lvl>
    <w:lvl w:ilvl="8" w:tentative="1">
      <w:start w:val="1"/>
      <w:numFmt w:val="none"/>
      <w:suff w:val="nothing"/>
      <w:lvlText w:val=""/>
      <w:lvlJc w:val="left"/>
      <w:rPr>
        <w:rFonts w:hint="eastAsia" w:cs="Times New Roman"/>
      </w:rPr>
    </w:lvl>
  </w:abstractNum>
  <w:abstractNum w:abstractNumId="13">
    <w:nsid w:val="0000000D"/>
    <w:multiLevelType w:val="singleLevel"/>
    <w:tmpl w:val="0000000D"/>
    <w:lvl w:ilvl="0" w:tentative="1">
      <w:start w:val="1"/>
      <w:numFmt w:val="decimal"/>
      <w:pStyle w:val="7"/>
      <w:lvlText w:val="%1."/>
      <w:lvlJc w:val="left"/>
      <w:pPr>
        <w:tabs>
          <w:tab w:val="left" w:pos="360"/>
        </w:tabs>
        <w:ind w:left="360" w:hanging="360"/>
      </w:pPr>
    </w:lvl>
  </w:abstractNum>
  <w:num w:numId="1">
    <w:abstractNumId w:val="12"/>
  </w:num>
  <w:num w:numId="2">
    <w:abstractNumId w:val="13"/>
  </w:num>
  <w:num w:numId="3">
    <w:abstractNumId w:val="3"/>
  </w:num>
  <w:num w:numId="4">
    <w:abstractNumId w:val="8"/>
  </w:num>
  <w:num w:numId="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val="1"/>
  <w:bordersDoNotSurroundHeader w:val="0"/>
  <w:bordersDoNotSurroundFooter w:val="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jc w:val="both"/>
    </w:pPr>
    <w:rPr>
      <w:rFonts w:ascii="Times New Roman" w:hAnsi="Times New Roman" w:eastAsia="宋体" w:cs="Times New Roman"/>
      <w:kern w:val="2"/>
      <w:sz w:val="21"/>
      <w:lang w:val="en-US" w:eastAsia="zh-CN" w:bidi="ar-SA"/>
    </w:rPr>
  </w:style>
  <w:style w:type="paragraph" w:styleId="3">
    <w:name w:val="heading 1"/>
    <w:basedOn w:val="1"/>
    <w:next w:val="1"/>
    <w:link w:val="4"/>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6">
    <w:name w:val="heading 3"/>
    <w:basedOn w:val="1"/>
    <w:next w:val="1"/>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5">
    <w:name w:val="Default Paragraph Font"/>
  </w:style>
  <w:style w:type="character" w:customStyle="1" w:styleId="4">
    <w:name w:val="标题 1 Char"/>
    <w:basedOn w:val="5"/>
    <w:link w:val="3"/>
    <w:semiHidden/>
    <w:rPr>
      <w:rFonts w:ascii="宋体" w:hAnsi="宋体" w:cs="宋体"/>
      <w:b/>
      <w:bCs/>
      <w:kern w:val="36"/>
      <w:sz w:val="48"/>
      <w:szCs w:val="48"/>
    </w:rPr>
  </w:style>
  <w:style w:type="paragraph" w:styleId="7">
    <w:name w:val="List Number"/>
    <w:basedOn w:val="1"/>
    <w:pPr>
      <w:numPr>
        <w:ilvl w:val="0"/>
        <w:numId w:val="2"/>
      </w:numPr>
    </w:pPr>
  </w:style>
  <w:style w:type="paragraph" w:styleId="8">
    <w:name w:val="caption"/>
    <w:basedOn w:val="1"/>
    <w:next w:val="1"/>
    <w:rPr>
      <w:rFonts w:ascii="Arial" w:hAnsi="Arial" w:eastAsia="黑体" w:cs="Arial"/>
      <w:sz w:val="20"/>
    </w:rPr>
  </w:style>
  <w:style w:type="paragraph" w:styleId="9">
    <w:name w:val="annotation text"/>
    <w:basedOn w:val="1"/>
    <w:link w:val="10"/>
    <w:pPr>
      <w:widowControl w:val="0"/>
      <w:jc w:val="left"/>
    </w:pPr>
    <w:rPr>
      <w:rFonts w:ascii="仿宋_GB2312" w:hAnsi="Calibri" w:eastAsia="仿宋_GB2312" w:cs="仿宋_GB2312"/>
      <w:sz w:val="28"/>
      <w:szCs w:val="28"/>
    </w:rPr>
  </w:style>
  <w:style w:type="character" w:customStyle="1" w:styleId="10">
    <w:name w:val="批注文字 Char"/>
    <w:basedOn w:val="5"/>
    <w:link w:val="9"/>
    <w:semiHidden/>
    <w:rPr>
      <w:rFonts w:ascii="仿宋_GB2312" w:hAnsi="Calibri" w:eastAsia="仿宋_GB2312" w:cs="仿宋_GB2312"/>
      <w:sz w:val="28"/>
      <w:szCs w:val="28"/>
    </w:rPr>
  </w:style>
  <w:style w:type="paragraph" w:styleId="11">
    <w:name w:val="Body Text"/>
    <w:basedOn w:val="1"/>
    <w:next w:val="12"/>
    <w:pPr>
      <w:spacing w:after="120"/>
    </w:pPr>
  </w:style>
  <w:style w:type="paragraph" w:customStyle="1" w:styleId="12">
    <w:name w:val="style4"/>
    <w:basedOn w:val="1"/>
    <w:next w:val="13"/>
    <w:pPr>
      <w:widowControl/>
      <w:spacing w:before="280" w:after="280"/>
    </w:pPr>
    <w:rPr>
      <w:rFonts w:ascii="宋体"/>
      <w:sz w:val="18"/>
    </w:rPr>
  </w:style>
  <w:style w:type="paragraph" w:customStyle="1" w:styleId="13">
    <w:name w:val="2"/>
    <w:next w:val="1"/>
    <w:pPr>
      <w:widowControl w:val="0"/>
      <w:jc w:val="both"/>
    </w:pPr>
    <w:rPr>
      <w:rFonts w:ascii="Times New Roman" w:hAnsi="Times New Roman" w:eastAsia="宋体" w:cs="Times New Roman"/>
      <w:sz w:val="21"/>
      <w:szCs w:val="22"/>
      <w:lang w:val="en-US" w:eastAsia="zh-CN" w:bidi="ar-SA"/>
    </w:rPr>
  </w:style>
  <w:style w:type="paragraph" w:styleId="14">
    <w:name w:val="批注框文本"/>
    <w:basedOn w:val="1"/>
    <w:link w:val="15"/>
    <w:rPr>
      <w:rFonts w:ascii="宋体" w:hAnsi="Times New Roman"/>
      <w:kern w:val="2"/>
      <w:sz w:val="18"/>
      <w:szCs w:val="18"/>
    </w:rPr>
  </w:style>
  <w:style w:type="character" w:customStyle="1" w:styleId="15">
    <w:name w:val="批注框文本 Char"/>
    <w:basedOn w:val="5"/>
    <w:link w:val="14"/>
    <w:semiHidden/>
    <w:rPr>
      <w:rFonts w:ascii="宋体" w:hAnsi="Times New Roman"/>
      <w:kern w:val="2"/>
      <w:sz w:val="18"/>
      <w:szCs w:val="18"/>
    </w:rPr>
  </w:style>
  <w:style w:type="paragraph" w:styleId="16">
    <w:name w:val="footer"/>
    <w:basedOn w:val="1"/>
    <w:link w:val="17"/>
    <w:pPr>
      <w:tabs>
        <w:tab w:val="center" w:pos="4153"/>
        <w:tab w:val="right" w:pos="8306"/>
      </w:tabs>
      <w:snapToGrid w:val="0"/>
      <w:jc w:val="left"/>
    </w:pPr>
    <w:rPr>
      <w:kern w:val="2"/>
      <w:sz w:val="18"/>
      <w:szCs w:val="18"/>
    </w:rPr>
  </w:style>
  <w:style w:type="character" w:customStyle="1" w:styleId="17">
    <w:name w:val="页脚 Char"/>
    <w:basedOn w:val="5"/>
    <w:link w:val="16"/>
    <w:semiHidden/>
    <w:rPr>
      <w:kern w:val="2"/>
      <w:sz w:val="18"/>
      <w:szCs w:val="18"/>
    </w:rPr>
  </w:style>
  <w:style w:type="paragraph" w:styleId="18">
    <w:name w:val="header"/>
    <w:basedOn w:val="1"/>
    <w:link w:val="19"/>
    <w:pPr>
      <w:pBdr>
        <w:bottom w:val="single" w:color="auto" w:sz="6" w:space="1"/>
      </w:pBdr>
      <w:tabs>
        <w:tab w:val="center" w:pos="4153"/>
        <w:tab w:val="right" w:pos="8306"/>
      </w:tabs>
      <w:snapToGrid w:val="0"/>
      <w:jc w:val="center"/>
    </w:pPr>
    <w:rPr>
      <w:kern w:val="2"/>
      <w:sz w:val="18"/>
      <w:szCs w:val="18"/>
    </w:rPr>
  </w:style>
  <w:style w:type="character" w:customStyle="1" w:styleId="19">
    <w:name w:val="页眉 Char"/>
    <w:basedOn w:val="5"/>
    <w:link w:val="18"/>
    <w:semiHidden/>
    <w:rPr>
      <w:kern w:val="2"/>
      <w:sz w:val="18"/>
      <w:szCs w:val="18"/>
    </w:rPr>
  </w:style>
  <w:style w:type="paragraph" w:styleId="20">
    <w:name w:val="toc 1"/>
    <w:basedOn w:val="1"/>
    <w:next w:val="1"/>
    <w:pPr>
      <w:spacing w:before="161"/>
      <w:ind w:left="698"/>
    </w:pPr>
    <w:rPr>
      <w:rFonts w:ascii="宋体" w:hAnsi="宋体" w:eastAsia="宋体" w:cs="宋体"/>
      <w:sz w:val="24"/>
      <w:szCs w:val="24"/>
      <w:lang w:val="en-US" w:eastAsia="zh-CN" w:bidi="ar-SA"/>
    </w:rPr>
  </w:style>
  <w:style w:type="paragraph" w:styleId="21">
    <w:name w:val="footnote text"/>
    <w:basedOn w:val="1"/>
    <w:pPr>
      <w:snapToGrid w:val="0"/>
      <w:jc w:val="left"/>
    </w:pPr>
    <w:rPr>
      <w:sz w:val="18"/>
      <w:szCs w:val="18"/>
    </w:rPr>
  </w:style>
  <w:style w:type="paragraph" w:styleId="22">
    <w:name w:val="Title"/>
    <w:basedOn w:val="1"/>
    <w:next w:val="1"/>
    <w:link w:val="23"/>
    <w:pPr>
      <w:widowControl w:val="0"/>
      <w:spacing w:before="240" w:after="60"/>
      <w:jc w:val="center"/>
      <w:outlineLvl w:val="0"/>
    </w:pPr>
    <w:rPr>
      <w:rFonts w:ascii="Cambria" w:hAnsi="Cambria" w:cs="黑体"/>
      <w:b/>
      <w:bCs/>
      <w:kern w:val="2"/>
      <w:sz w:val="32"/>
      <w:szCs w:val="32"/>
    </w:rPr>
  </w:style>
  <w:style w:type="character" w:customStyle="1" w:styleId="23">
    <w:name w:val="标题 Char"/>
    <w:basedOn w:val="5"/>
    <w:link w:val="22"/>
    <w:semiHidden/>
    <w:rPr>
      <w:rFonts w:ascii="Cambria" w:hAnsi="Cambria" w:cs="黑体"/>
      <w:b/>
      <w:bCs/>
      <w:kern w:val="2"/>
      <w:sz w:val="32"/>
      <w:szCs w:val="32"/>
    </w:rPr>
  </w:style>
  <w:style w:type="character" w:styleId="24">
    <w:name w:val="FollowedHyperlink"/>
    <w:basedOn w:val="5"/>
    <w:rPr>
      <w:color w:val="000000"/>
      <w:u w:val="none"/>
    </w:rPr>
  </w:style>
  <w:style w:type="character" w:styleId="25">
    <w:name w:val="Emphasis"/>
    <w:basedOn w:val="5"/>
    <w:rPr/>
  </w:style>
  <w:style w:type="character" w:styleId="26">
    <w:name w:val="Hyperlink"/>
    <w:basedOn w:val="5"/>
    <w:rPr>
      <w:color w:val="000000"/>
      <w:u w:val="none"/>
    </w:rPr>
  </w:style>
  <w:style w:type="paragraph" w:customStyle="1" w:styleId="27">
    <w:name w:val="Body Text Indent"/>
    <w:basedOn w:val="1"/>
    <w:next w:val="28"/>
    <w:pPr>
      <w:adjustRightInd w:val="0"/>
      <w:spacing w:after="120" w:line="360" w:lineRule="atLeast"/>
      <w:ind w:left="420" w:leftChars="200"/>
      <w:jc w:val="left"/>
      <w:textAlignment w:val="baseline"/>
    </w:pPr>
    <w:rPr>
      <w:sz w:val="24"/>
    </w:rPr>
  </w:style>
  <w:style w:type="paragraph" w:customStyle="1" w:styleId="28">
    <w:name w:val="envelope return"/>
    <w:basedOn w:val="1"/>
    <w:pPr>
      <w:snapToGrid w:val="0"/>
    </w:pPr>
    <w:rPr>
      <w:rFonts w:ascii="Arial" w:hAnsi="Arial"/>
    </w:rPr>
  </w:style>
  <w:style w:type="paragraph" w:customStyle="1" w:styleId="29">
    <w:name w:val="Block Text"/>
    <w:basedOn w:val="1"/>
    <w:pPr>
      <w:adjustRightInd w:val="0"/>
      <w:spacing w:line="300" w:lineRule="auto"/>
      <w:ind w:left="958" w:right="-120" w:rightChars="-120"/>
    </w:pPr>
    <w:rPr>
      <w:rFonts w:hint="eastAsia"/>
      <w:sz w:val="28"/>
    </w:rPr>
  </w:style>
  <w:style w:type="paragraph" w:customStyle="1" w:styleId="30">
    <w:name w:val="Plain Text"/>
    <w:basedOn w:val="1"/>
    <w:rPr>
      <w:sz w:val="24"/>
    </w:rPr>
  </w:style>
  <w:style w:type="paragraph" w:customStyle="1" w:styleId="31">
    <w:name w:val="Date"/>
    <w:basedOn w:val="1"/>
    <w:next w:val="1"/>
    <w:pPr>
      <w:ind w:left="100" w:leftChars="2500"/>
    </w:pPr>
  </w:style>
  <w:style w:type="paragraph" w:customStyle="1" w:styleId="32">
    <w:name w:val="List"/>
    <w:basedOn w:val="1"/>
    <w:pPr>
      <w:ind w:left="420" w:hanging="420"/>
    </w:pPr>
    <w:rPr>
      <w:szCs w:val="20"/>
    </w:rPr>
  </w:style>
  <w:style w:type="paragraph" w:customStyle="1" w:styleId="33">
    <w:name w:val="Body Text 2"/>
    <w:basedOn w:val="1"/>
    <w:pPr>
      <w:spacing w:before="100" w:beforeAutospacing="1" w:after="100" w:afterAutospacing="1"/>
      <w:jc w:val="left"/>
    </w:pPr>
    <w:rPr>
      <w:rFonts w:ascii="宋体" w:hAnsi="宋体"/>
      <w:kern w:val="0"/>
      <w:sz w:val="24"/>
    </w:rPr>
  </w:style>
  <w:style w:type="paragraph" w:customStyle="1" w:styleId="34">
    <w:name w:val="Message Header"/>
    <w:basedOn w:val="1"/>
    <w:next w:val="1"/>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customStyle="1" w:styleId="35">
    <w:name w:val="Normal (Web)"/>
    <w:basedOn w:val="1"/>
    <w:rPr>
      <w:rFonts w:ascii="Calibri" w:hAnsi="Calibri"/>
      <w:sz w:val="24"/>
      <w:szCs w:val="24"/>
    </w:rPr>
  </w:style>
  <w:style w:type="paragraph" w:customStyle="1" w:styleId="36">
    <w:name w:val="Body Text First Indent"/>
    <w:basedOn w:val="11"/>
    <w:next w:val="37"/>
    <w:pPr>
      <w:ind w:firstLine="420" w:firstLineChars="100"/>
    </w:pPr>
    <w:rPr>
      <w:rFonts w:ascii="宋体"/>
      <w:kern w:val="0"/>
      <w:sz w:val="34"/>
    </w:rPr>
  </w:style>
  <w:style w:type="paragraph" w:customStyle="1" w:styleId="37">
    <w:name w:val="Body Text First Indent 2"/>
    <w:basedOn w:val="27"/>
    <w:next w:val="32"/>
    <w:pPr>
      <w:ind w:firstLine="420" w:firstLineChars="200"/>
    </w:pPr>
  </w:style>
  <w:style w:type="paragraph" w:customStyle="1" w:styleId="38">
    <w:name w:val="表格文字"/>
    <w:basedOn w:val="1"/>
    <w:next w:val="11"/>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9">
    <w:name w:val="Default"/>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列出段落1"/>
    <w:basedOn w:val="1"/>
    <w:pPr>
      <w:ind w:firstLine="420" w:firstLineChars="200"/>
    </w:pPr>
  </w:style>
  <w:style w:type="paragraph" w:customStyle="1" w:styleId="41">
    <w:name w:val="样式 样式 样式 样式 标题 2 + 宋体 五号 非加粗 黑色 + 段前: 6 磅 段后: 0 磅 行距: 单倍行距 + 段前:..."/>
    <w:basedOn w:val="1"/>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42">
    <w:name w:val="正文文本缩进1"/>
    <w:basedOn w:val="1"/>
    <w:pPr>
      <w:spacing w:line="360" w:lineRule="auto"/>
      <w:ind w:firstLine="480" w:firstLineChars="200"/>
    </w:pPr>
    <w:rPr>
      <w:rFonts w:ascii="宋体"/>
      <w:sz w:val="24"/>
    </w:rPr>
  </w:style>
  <w:style w:type="paragraph" w:customStyle="1" w:styleId="43">
    <w:name w:val="正文缩进1"/>
    <w:basedOn w:val="1"/>
    <w:pPr>
      <w:adjustRightInd w:val="0"/>
      <w:spacing w:line="360" w:lineRule="atLeast"/>
      <w:ind w:firstLine="420" w:firstLineChars="200"/>
      <w:jc w:val="left"/>
      <w:textAlignment w:val="baseline"/>
    </w:pPr>
    <w:rPr>
      <w:kern w:val="0"/>
      <w:sz w:val="24"/>
    </w:rPr>
  </w:style>
  <w:style w:type="paragraph" w:customStyle="1" w:styleId="44">
    <w:name w:val="日期1"/>
    <w:basedOn w:val="1"/>
    <w:next w:val="1"/>
    <w:rPr>
      <w:sz w:val="24"/>
    </w:rPr>
  </w:style>
  <w:style w:type="paragraph" w:customStyle="1" w:styleId="45">
    <w:name w:val="_Style 47"/>
    <w:basedOn w:val="1"/>
    <w:next w:val="1"/>
    <w:pPr>
      <w:widowControl w:val="0"/>
      <w:tabs>
        <w:tab w:val="left" w:pos="840"/>
        <w:tab w:val="right" w:leader="dot" w:pos="8296"/>
      </w:tabs>
    </w:pPr>
  </w:style>
  <w:style w:type="paragraph" w:customStyle="1" w:styleId="46">
    <w:name w:val="È±Ê¡ÎÄ±¾"/>
    <w:basedOn w:val="1"/>
    <w:pPr>
      <w:overflowPunct w:val="0"/>
      <w:autoSpaceDE w:val="0"/>
      <w:autoSpaceDN w:val="0"/>
      <w:adjustRightInd w:val="0"/>
      <w:jc w:val="left"/>
      <w:textAlignment w:val="baseline"/>
    </w:pPr>
    <w:rPr>
      <w:rFonts w:hAnsi="Calibri"/>
      <w:kern w:val="0"/>
      <w:szCs w:val="22"/>
    </w:rPr>
  </w:style>
  <w:style w:type="paragraph" w:customStyle="1" w:styleId="47">
    <w:name w:val="网格表 31"/>
    <w:basedOn w:val="3"/>
    <w:next w:val="1"/>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48">
    <w:name w:val="列出段落11"/>
    <w:basedOn w:val="1"/>
    <w:pPr>
      <w:widowControl w:val="0"/>
      <w:ind w:left="720"/>
      <w:contextualSpacing/>
    </w:pPr>
    <w:rPr>
      <w:szCs w:val="24"/>
    </w:rPr>
  </w:style>
  <w:style w:type="paragraph" w:customStyle="1" w:styleId="49">
    <w:name w:val="UserStyle_33"/>
    <w:basedOn w:val="1"/>
    <w:pPr>
      <w:textAlignment w:val="baseline"/>
    </w:pPr>
    <w:rPr>
      <w:sz w:val="24"/>
      <w:szCs w:val="24"/>
    </w:rPr>
  </w:style>
  <w:style w:type="paragraph" w:customStyle="1" w:styleId="50">
    <w:name w:val="！正文"/>
    <w:basedOn w:val="1"/>
    <w:pPr>
      <w:spacing w:line="360" w:lineRule="auto"/>
    </w:pPr>
    <w:rPr>
      <w:kern w:val="0"/>
    </w:rPr>
  </w:style>
  <w:style w:type="paragraph" w:customStyle="1" w:styleId="51">
    <w:name w:val="正文内容"/>
    <w:basedOn w:val="1"/>
    <w:pPr>
      <w:adjustRightInd w:val="0"/>
      <w:spacing w:line="360" w:lineRule="auto"/>
      <w:ind w:firstLine="200" w:firstLineChars="200"/>
    </w:pPr>
    <w:rPr>
      <w:rFonts w:eastAsia="宋体" w:cs="黑体"/>
      <w:sz w:val="24"/>
    </w:rPr>
  </w:style>
  <w:style w:type="paragraph" w:customStyle="1" w:styleId="52">
    <w:name w:val="List Paragraph"/>
    <w:basedOn w:val="1"/>
    <w:pPr>
      <w:ind w:firstLine="420" w:firstLineChars="200"/>
    </w:pPr>
  </w:style>
  <w:style w:type="paragraph" w:customStyle="1" w:styleId="53">
    <w:name w:val="样式 首行缩进:  0.74 厘米"/>
    <w:basedOn w:val="1"/>
    <w:pPr>
      <w:ind w:firstLine="420"/>
    </w:pPr>
    <w:rPr>
      <w:rFonts w:ascii="Arial" w:hAnsi="Arial" w:eastAsia="仿宋_GB2312" w:cs="Arial"/>
      <w:bCs/>
      <w:sz w:val="28"/>
      <w:szCs w:val="28"/>
    </w:rPr>
  </w:style>
  <w:style w:type="paragraph" w:customStyle="1" w:styleId="54">
    <w:name w:val="Table Paragraph"/>
    <w:basedOn w:val="1"/>
    <w:rPr>
      <w:rFonts w:hint="eastAsia" w:hAnsi="宋体"/>
      <w:lang w:val="zh-CN"/>
    </w:rPr>
  </w:style>
  <w:style w:type="paragraph" w:customStyle="1" w:styleId="55">
    <w:name w:val="cjk"/>
    <w:rPr>
      <w:rFonts w:ascii="宋体" w:hAnsi="宋体" w:eastAsia="宋体" w:cs="宋体"/>
      <w:sz w:val="24"/>
      <w:szCs w:val="24"/>
      <w:lang w:val="en-US" w:eastAsia="zh-CN" w:bidi="ar-SA"/>
    </w:rPr>
  </w:style>
  <w:style w:type="character" w:customStyle="1" w:styleId="56">
    <w:name w:val="page number"/>
    <w:basedOn w:val="5"/>
    <w:rPr/>
  </w:style>
  <w:style w:type="character" w:customStyle="1" w:styleId="57">
    <w:name w:val="annotation reference"/>
    <w:basedOn w:val="5"/>
    <w:rPr>
      <w:sz w:val="21"/>
      <w:szCs w:val="21"/>
    </w:rPr>
  </w:style>
  <w:style w:type="character" w:customStyle="1" w:styleId="58">
    <w:name w:val="red"/>
    <w:basedOn w:val="5"/>
    <w:rPr>
      <w:color w:val="CC0000"/>
    </w:rPr>
  </w:style>
  <w:style w:type="character" w:customStyle="1" w:styleId="59">
    <w:name w:val="red1"/>
    <w:basedOn w:val="5"/>
    <w:rPr>
      <w:color w:val="FF0000"/>
      <w:sz w:val="18"/>
      <w:szCs w:val="18"/>
    </w:rPr>
  </w:style>
  <w:style w:type="character" w:customStyle="1" w:styleId="60">
    <w:name w:val="red2"/>
    <w:basedOn w:val="5"/>
    <w:rPr>
      <w:color w:val="FF0000"/>
      <w:sz w:val="18"/>
      <w:szCs w:val="18"/>
    </w:rPr>
  </w:style>
  <w:style w:type="character" w:customStyle="1" w:styleId="61">
    <w:name w:val="red3"/>
    <w:basedOn w:val="5"/>
    <w:rPr>
      <w:color w:val="FF0000"/>
    </w:rPr>
  </w:style>
  <w:style w:type="character" w:customStyle="1" w:styleId="62">
    <w:name w:val="green"/>
    <w:basedOn w:val="5"/>
    <w:rPr>
      <w:color w:val="66AE00"/>
      <w:sz w:val="18"/>
      <w:szCs w:val="18"/>
    </w:rPr>
  </w:style>
  <w:style w:type="character" w:customStyle="1" w:styleId="63">
    <w:name w:val="green1"/>
    <w:basedOn w:val="5"/>
    <w:rPr>
      <w:color w:val="66AE00"/>
      <w:sz w:val="18"/>
      <w:szCs w:val="18"/>
    </w:rPr>
  </w:style>
  <w:style w:type="character" w:customStyle="1" w:styleId="64">
    <w:name w:val="hover25"/>
    <w:basedOn w:val="5"/>
    <w:rPr/>
  </w:style>
  <w:style w:type="character" w:customStyle="1" w:styleId="65">
    <w:name w:val="blue"/>
    <w:basedOn w:val="5"/>
    <w:rPr>
      <w:color w:val="0371C6"/>
      <w:sz w:val="21"/>
      <w:szCs w:val="21"/>
    </w:rPr>
  </w:style>
  <w:style w:type="character" w:customStyle="1" w:styleId="66">
    <w:name w:val="gb-jt"/>
    <w:basedOn w:val="5"/>
    <w:rPr/>
  </w:style>
  <w:style w:type="character" w:customStyle="1" w:styleId="67">
    <w:name w:val="right"/>
    <w:basedOn w:val="5"/>
    <w:rPr>
      <w:color w:val="999999"/>
      <w:sz w:val="18"/>
      <w:szCs w:val="18"/>
    </w:rPr>
  </w:style>
  <w:style w:type="character" w:customStyle="1" w:styleId="68">
    <w:name w:val="Unresolved Mention"/>
    <w:basedOn w:val="5"/>
    <w:rPr>
      <w:color w:val="605E5C"/>
      <w:shd w:val="clear" w:color="auto" w:fill="E1DFDD"/>
    </w:rPr>
  </w:style>
  <w:style w:type="character" w:customStyle="1" w:styleId="69">
    <w:name w:val="页脚 字符1"/>
    <w:rPr>
      <w:kern w:val="2"/>
      <w:sz w:val="18"/>
    </w:rPr>
  </w:style>
  <w:style w:type="character" w:customStyle="1" w:styleId="70">
    <w:name w:val="页眉 字符"/>
    <w:rPr>
      <w:kern w:val="2"/>
      <w:sz w:val="18"/>
    </w:rPr>
  </w:style>
  <w:style w:type="character" w:customStyle="1" w:styleId="71">
    <w:name w:val="标题 Char1"/>
    <w:link w:val="22"/>
    <w:semiHidden/>
    <w:rPr>
      <w:rFonts w:ascii="Cambria" w:hAnsi="Cambria"/>
      <w:b/>
      <w:bCs/>
      <w:kern w:val="2"/>
      <w:sz w:val="32"/>
      <w:szCs w:val="32"/>
    </w:rPr>
  </w:style>
  <w:style w:type="character" w:customStyle="1" w:styleId="72">
    <w:name w:val="NormalCharacter"/>
    <w:basedOn w:val="5"/>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37</Pages>
  <Words>15322</Words>
  <Characters>16013</Characters>
  <Lines>30</Lines>
  <Paragraphs>63</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2021-06-19T11:58:00Z</dcterms:created>
  <dc:creator>得未尝有</dc:creator>
  <cp:lastPrinted>2023-04-06T17:41:00Z</cp:lastPrinted>
  <dcterms:modified xsi:type="dcterms:W3CDTF">2023-07-27T10:23:59Z</dcterms:modified>
  <dc:title>湖泊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74B6B0621A8C4542BCF035DFF8297F1E_13</vt:lpwstr>
  </property>
</Properties>
</file>