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1：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市城投集团视频学习平台事宜报价单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tbl>
      <w:tblPr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3161"/>
        <w:gridCol w:w="3264"/>
      </w:tblGrid>
      <w:tr>
        <w:trPr>
          <w:trHeight w:val="82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161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产品明细</w:t>
            </w:r>
          </w:p>
        </w:tc>
        <w:tc>
          <w:tcPr>
            <w:tcW w:w="3264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单价（元）</w:t>
            </w:r>
          </w:p>
        </w:tc>
      </w:tr>
      <w:tr>
        <w:trPr>
          <w:trHeight w:val="1134" w:hRule="atLeast"/>
        </w:trPr>
        <w:tc>
          <w:tcPr>
            <w:tcW w:w="2275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color w:val="000000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视频学习</w:t>
            </w:r>
            <w:r>
              <w:rPr>
                <w:rFonts w:hint="eastAsia"/>
                <w:color w:val="000000"/>
                <w:lang w:eastAsia="zh-CN"/>
              </w:rPr>
              <w:t>平台服务</w:t>
            </w: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标准课程服务费</w:t>
            </w:r>
          </w:p>
        </w:tc>
        <w:tc>
          <w:tcPr>
            <w:tcW w:w="32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>
        <w:trPr>
          <w:trHeight w:val="1134" w:hRule="atLeast"/>
        </w:trPr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金融课程</w:t>
            </w:r>
            <w:r>
              <w:rPr>
                <w:rFonts w:hint="eastAsia"/>
                <w:color w:val="000000"/>
                <w:lang w:eastAsia="zh-CN"/>
              </w:rPr>
              <w:t>服务费</w:t>
            </w:r>
          </w:p>
        </w:tc>
        <w:tc>
          <w:tcPr>
            <w:tcW w:w="32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>
        <w:trPr>
          <w:trHeight w:val="1134" w:hRule="atLeast"/>
        </w:trPr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工时费</w:t>
            </w:r>
          </w:p>
        </w:tc>
        <w:tc>
          <w:tcPr>
            <w:tcW w:w="32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>
        <w:trPr>
          <w:trHeight w:val="1134" w:hRule="atLeast"/>
        </w:trPr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云服务器租赁费</w:t>
            </w:r>
          </w:p>
        </w:tc>
        <w:tc>
          <w:tcPr>
            <w:tcW w:w="32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>
        <w:trPr>
          <w:trHeight w:val="1134" w:hRule="atLeast"/>
        </w:trPr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维护费</w:t>
            </w:r>
          </w:p>
        </w:tc>
        <w:tc>
          <w:tcPr>
            <w:tcW w:w="326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>
        <w:trPr>
          <w:trHeight w:val="1134" w:hRule="atLeast"/>
        </w:trPr>
        <w:tc>
          <w:tcPr>
            <w:tcW w:w="227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项目总价（元）</w:t>
            </w:r>
          </w:p>
        </w:tc>
        <w:tc>
          <w:tcPr>
            <w:tcW w:w="64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人民币（大写）：</w:t>
            </w:r>
          </w:p>
          <w:p>
            <w:pPr>
              <w:pStyle w:val="8"/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人民币（小写）：</w:t>
            </w:r>
          </w:p>
        </w:tc>
      </w:tr>
      <w:tr>
        <w:trPr>
          <w:trHeight w:val="1134" w:hRule="atLeast"/>
        </w:trPr>
        <w:tc>
          <w:tcPr>
            <w:tcW w:w="2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6425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以上为各产品分项产品单价（含税价）。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费用按实际使用数量，据实结算。</w:t>
            </w:r>
          </w:p>
        </w:tc>
      </w:tr>
    </w:tbl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hint="eastAsia" w:ascii="Times New Roman" w:hAnsi="Times New Roman" w:cs="Times New Roman"/>
          <w:color w:val="000000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4410" w:firstLineChars="2100"/>
        <w:textAlignment w:val="auto"/>
        <w:outlineLvl w:val="9"/>
        <w:rPr>
          <w:rFonts w:hint="eastAsia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供应商（盖章）：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4410" w:firstLineChars="2100"/>
        <w:textAlignment w:val="auto"/>
        <w:outlineLvl w:val="9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日期</w:t>
      </w:r>
    </w:p>
    <w:sectPr>
      <w:footerReference r:id="rId4" w:type="default"/>
      <w:pgSz w:w="11906" w:h="16838"/>
      <w:pgMar w:top="2098" w:right="1800" w:bottom="198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">
    <w:nsid w:val="00000004"/>
    <w:multiLevelType w:val="multilevel"/>
    <w:tmpl w:val="00000004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rPr>
      <w:b/>
      <w:bCs/>
    </w:rPr>
  </w:style>
  <w:style w:type="character" w:styleId="6">
    <w:name w:val="Hyperlink"/>
    <w:basedOn w:val="4"/>
    <w:rPr>
      <w:color w:val="0563C1"/>
      <w:u w:val="single"/>
    </w:rPr>
  </w:style>
  <w:style w:type="paragraph" w:customStyle="1" w:styleId="7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Printed>2023-06-13T15:10:00Z</cp:lastPrinted>
  <dcterms:modified xsi:type="dcterms:W3CDTF">2023-06-25T15:55:05Z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BF33293A426B404FA989962F99200835</vt:lpwstr>
  </property>
</Properties>
</file>